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132" w:rsidRDefault="00EC2132" w:rsidP="00EC2132">
      <w:pPr>
        <w:jc w:val="center"/>
        <w:rPr>
          <w:b/>
          <w:sz w:val="28"/>
          <w:szCs w:val="28"/>
          <w:u w:val="single"/>
        </w:rPr>
      </w:pPr>
      <w:bookmarkStart w:id="0" w:name="_GoBack"/>
      <w:bookmarkEnd w:id="0"/>
      <w:r>
        <w:rPr>
          <w:b/>
          <w:sz w:val="28"/>
          <w:u w:val="single"/>
        </w:rPr>
        <w:t>Ενισχύσεις για τον πολιτισμό και τη διατήρηση της κληρονομιάς</w:t>
      </w:r>
    </w:p>
    <w:p w:rsidR="00EC2132" w:rsidRDefault="00EC2132" w:rsidP="00EC2132">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5D42EC" w:rsidRPr="00762A83" w:rsidRDefault="005D42EC" w:rsidP="005D42EC">
      <w:r w:rsidRPr="00762A83">
        <w:rPr>
          <w:color w:val="000000"/>
        </w:rPr>
        <w:t>Πρώτα ελέγξτε</w:t>
      </w:r>
      <w:r>
        <w:rPr>
          <w:color w:val="000000"/>
          <w:lang w:val="en-GB"/>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rsidR="007D461F" w:rsidRPr="00FC2121" w:rsidRDefault="005D42EC" w:rsidP="005D42EC">
      <w:pPr>
        <w:jc w:val="center"/>
        <w:rPr>
          <w:b/>
          <w:sz w:val="22"/>
          <w:szCs w:val="22"/>
          <w:u w:val="single"/>
          <w:lang w:val="en-GB"/>
        </w:rPr>
      </w:pPr>
      <w:r w:rsidRPr="007C5B36">
        <w:rPr>
          <w:b/>
          <w:sz w:val="22"/>
          <w:szCs w:val="22"/>
          <w:u w:val="single"/>
        </w:rPr>
        <w:t>A. Κοινές διατάξεις εφαρμογής</w:t>
      </w:r>
    </w:p>
    <w:p w:rsidR="007D461F" w:rsidRPr="001161D2" w:rsidRDefault="007D461F" w:rsidP="001161D2">
      <w:pPr>
        <w:rPr>
          <w:sz w:val="22"/>
          <w:szCs w:val="22"/>
        </w:rPr>
      </w:pPr>
    </w:p>
    <w:tbl>
      <w:tblPr>
        <w:tblW w:w="146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3"/>
        <w:gridCol w:w="6379"/>
      </w:tblGrid>
      <w:tr w:rsidR="00EC2132" w:rsidRPr="00E93688" w:rsidTr="007A1162">
        <w:trPr>
          <w:trHeight w:val="145"/>
        </w:trPr>
        <w:tc>
          <w:tcPr>
            <w:tcW w:w="8233" w:type="dxa"/>
            <w:tcBorders>
              <w:bottom w:val="single" w:sz="4" w:space="0" w:color="auto"/>
            </w:tcBorders>
            <w:shd w:val="clear" w:color="auto" w:fill="B8CCE4"/>
          </w:tcPr>
          <w:p w:rsidR="000E10AB" w:rsidRPr="00E93688" w:rsidRDefault="00593387" w:rsidP="001161D2">
            <w:pPr>
              <w:tabs>
                <w:tab w:val="center" w:pos="3549"/>
              </w:tabs>
              <w:ind w:left="360"/>
              <w:rPr>
                <w:b/>
                <w:smallCaps/>
                <w:sz w:val="22"/>
                <w:szCs w:val="22"/>
              </w:rPr>
            </w:pPr>
            <w:r>
              <w:tab/>
            </w:r>
            <w:r>
              <w:rPr>
                <w:b/>
                <w:smallCaps/>
                <w:sz w:val="22"/>
              </w:rPr>
              <w:t>Γενικοί όροι συμβατότητας</w:t>
            </w:r>
          </w:p>
        </w:tc>
        <w:tc>
          <w:tcPr>
            <w:tcW w:w="6379" w:type="dxa"/>
            <w:shd w:val="clear" w:color="auto" w:fill="B8CCE4"/>
          </w:tcPr>
          <w:p w:rsidR="000E10AB" w:rsidRPr="00E93688" w:rsidRDefault="00FC2121" w:rsidP="001161D2">
            <w:pPr>
              <w:jc w:val="center"/>
              <w:rPr>
                <w:b/>
                <w:smallCaps/>
                <w:sz w:val="22"/>
                <w:szCs w:val="22"/>
              </w:rPr>
            </w:pPr>
            <w:r>
              <w:rPr>
                <w:b/>
                <w:smallCaps/>
                <w:sz w:val="22"/>
                <w:lang w:val="en-GB"/>
              </w:rPr>
              <w:t>E</w:t>
            </w:r>
            <w:proofErr w:type="spellStart"/>
            <w:r w:rsidR="000E10AB">
              <w:rPr>
                <w:b/>
                <w:smallCaps/>
                <w:sz w:val="22"/>
              </w:rPr>
              <w:t>λεγχος</w:t>
            </w:r>
            <w:proofErr w:type="spellEnd"/>
            <w:r w:rsidR="000E10AB">
              <w:rPr>
                <w:b/>
                <w:smallCaps/>
                <w:sz w:val="22"/>
              </w:rPr>
              <w:t xml:space="preserve"> συμμόρφωσης (</w:t>
            </w:r>
            <w:proofErr w:type="gramStart"/>
            <w:r w:rsidR="000E10AB">
              <w:rPr>
                <w:b/>
                <w:smallCaps/>
                <w:sz w:val="22"/>
              </w:rPr>
              <w:t>OK;</w:t>
            </w:r>
            <w:proofErr w:type="gramEnd"/>
            <w:r w:rsidR="000E10AB">
              <w:rPr>
                <w:b/>
                <w:smallCaps/>
                <w:sz w:val="22"/>
              </w:rPr>
              <w:t>)</w:t>
            </w:r>
          </w:p>
        </w:tc>
      </w:tr>
      <w:tr w:rsidR="00652617" w:rsidRPr="001161D2" w:rsidTr="007F0757">
        <w:trPr>
          <w:trHeight w:val="145"/>
        </w:trPr>
        <w:tc>
          <w:tcPr>
            <w:tcW w:w="8233" w:type="dxa"/>
            <w:shd w:val="clear" w:color="auto" w:fill="D9D9D9"/>
          </w:tcPr>
          <w:p w:rsidR="00652617" w:rsidRPr="001161D2" w:rsidRDefault="00652617" w:rsidP="00AE3359">
            <w:pPr>
              <w:rPr>
                <w:b/>
                <w:sz w:val="22"/>
                <w:szCs w:val="22"/>
              </w:rPr>
            </w:pPr>
            <w:r>
              <w:rPr>
                <w:b/>
                <w:sz w:val="22"/>
              </w:rPr>
              <w:t>Άρθρο 1 —</w:t>
            </w:r>
          </w:p>
        </w:tc>
        <w:tc>
          <w:tcPr>
            <w:tcW w:w="6379" w:type="dxa"/>
            <w:shd w:val="clear" w:color="auto" w:fill="D9D9D9"/>
          </w:tcPr>
          <w:p w:rsidR="00652617" w:rsidRPr="001161D2" w:rsidRDefault="00652617" w:rsidP="006C6F59">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rPr>
                <w:b/>
                <w:sz w:val="22"/>
                <w:szCs w:val="22"/>
              </w:rPr>
            </w:pPr>
            <w:r>
              <w:rPr>
                <w:b/>
                <w:sz w:val="22"/>
              </w:rPr>
              <w:t>Άρθρο 1 — Αποκλεισμός ορισμένων δραστηριοτήτων (παράγραφος 2)</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0E10AB" w:rsidRPr="001161D2" w:rsidRDefault="000E10AB" w:rsidP="00AE3359">
            <w:pPr>
              <w:numPr>
                <w:ilvl w:val="0"/>
                <w:numId w:val="1"/>
              </w:numPr>
              <w:tabs>
                <w:tab w:val="clear" w:pos="720"/>
                <w:tab w:val="num" w:pos="328"/>
              </w:tabs>
              <w:ind w:left="328" w:hanging="283"/>
              <w:jc w:val="both"/>
              <w:rPr>
                <w:sz w:val="22"/>
                <w:szCs w:val="22"/>
              </w:rPr>
            </w:pPr>
            <w:r>
              <w:rPr>
                <w:sz w:val="22"/>
              </w:rPr>
              <w:t xml:space="preserve">στις ενισχύσεις για δραστηριότητες που σχετίζονται με εξαγωγές· </w:t>
            </w:r>
          </w:p>
          <w:p w:rsidR="000E10AB" w:rsidRPr="001161D2" w:rsidRDefault="000E10AB" w:rsidP="006C6F59">
            <w:pPr>
              <w:numPr>
                <w:ilvl w:val="0"/>
                <w:numId w:val="1"/>
              </w:numPr>
              <w:tabs>
                <w:tab w:val="clear" w:pos="720"/>
                <w:tab w:val="num" w:pos="328"/>
              </w:tabs>
              <w:ind w:left="328" w:hanging="283"/>
              <w:jc w:val="both"/>
              <w:rPr>
                <w:sz w:val="22"/>
                <w:szCs w:val="22"/>
              </w:rPr>
            </w:pPr>
            <w:r>
              <w:rPr>
                <w:sz w:val="22"/>
              </w:rPr>
              <w:t>στις ενισχύσεις που εξαρτώνται από την κατά προτίμηση χρήση εγχώριων προϊόντων αντί των εισαγομένων.</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jc w:val="both"/>
              <w:rPr>
                <w:b/>
                <w:sz w:val="22"/>
                <w:szCs w:val="22"/>
              </w:rPr>
            </w:pPr>
            <w:r>
              <w:rPr>
                <w:b/>
                <w:sz w:val="22"/>
              </w:rPr>
              <w:t>Άρθρο 1 — Αποκλεισμός ορισμένων τομέων (παράγραφος 3)</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624CDE" w:rsidRPr="00834ED4" w:rsidRDefault="00624CDE" w:rsidP="00AE3359">
            <w:pPr>
              <w:numPr>
                <w:ilvl w:val="0"/>
                <w:numId w:val="2"/>
              </w:numPr>
              <w:tabs>
                <w:tab w:val="clear" w:pos="720"/>
                <w:tab w:val="num" w:pos="328"/>
              </w:tabs>
              <w:ind w:left="328" w:hanging="283"/>
              <w:jc w:val="both"/>
              <w:rPr>
                <w:sz w:val="22"/>
                <w:szCs w:val="22"/>
              </w:rPr>
            </w:pPr>
            <w:r>
              <w:rPr>
                <w:sz w:val="22"/>
              </w:rPr>
              <w:t xml:space="preserve">Αλιεία και υδατοκαλλιέργεια* (όπως στον κανονισμό 1379/2013)· </w:t>
            </w:r>
          </w:p>
          <w:p w:rsidR="00624CDE" w:rsidRPr="001161D2" w:rsidRDefault="00624CDE" w:rsidP="006C6F59">
            <w:pPr>
              <w:numPr>
                <w:ilvl w:val="0"/>
                <w:numId w:val="2"/>
              </w:numPr>
              <w:tabs>
                <w:tab w:val="clear" w:pos="720"/>
                <w:tab w:val="num" w:pos="328"/>
              </w:tabs>
              <w:ind w:left="328" w:hanging="283"/>
              <w:rPr>
                <w:sz w:val="22"/>
                <w:szCs w:val="22"/>
              </w:rPr>
            </w:pPr>
            <w:r>
              <w:rPr>
                <w:sz w:val="22"/>
              </w:rPr>
              <w:t xml:space="preserve">Πρωτογενής παραγωγή γεωργικών προϊόντων* </w:t>
            </w:r>
          </w:p>
          <w:p w:rsidR="00624CDE" w:rsidRPr="006179D0" w:rsidRDefault="00624CDE" w:rsidP="006C6F59">
            <w:pPr>
              <w:numPr>
                <w:ilvl w:val="0"/>
                <w:numId w:val="2"/>
              </w:numPr>
              <w:tabs>
                <w:tab w:val="clear" w:pos="720"/>
                <w:tab w:val="num" w:pos="328"/>
              </w:tabs>
              <w:autoSpaceDE w:val="0"/>
              <w:autoSpaceDN w:val="0"/>
              <w:adjustRightInd w:val="0"/>
              <w:ind w:left="328" w:hanging="283"/>
              <w:jc w:val="both"/>
              <w:rPr>
                <w:sz w:val="22"/>
                <w:szCs w:val="22"/>
              </w:rPr>
            </w:pPr>
            <w:r>
              <w:rPr>
                <w:sz w:val="22"/>
              </w:rPr>
              <w:t>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της απόδοσής της εν μέρει ή εξολοκλήρου σε πρωτογενείς παραγωγούς·</w:t>
            </w:r>
          </w:p>
          <w:p w:rsidR="000E10AB" w:rsidRPr="00B07819" w:rsidRDefault="00624CDE" w:rsidP="00E93688">
            <w:pPr>
              <w:numPr>
                <w:ilvl w:val="0"/>
                <w:numId w:val="2"/>
              </w:numPr>
              <w:tabs>
                <w:tab w:val="clear" w:pos="720"/>
                <w:tab w:val="num" w:pos="328"/>
              </w:tabs>
              <w:ind w:left="328" w:hanging="283"/>
              <w:jc w:val="both"/>
              <w:rPr>
                <w:sz w:val="22"/>
                <w:szCs w:val="22"/>
              </w:rPr>
            </w:pPr>
            <w:r>
              <w:rPr>
                <w:sz w:val="22"/>
              </w:rPr>
              <w:t xml:space="preserve">Ενισχύσεις που διευκολύνουν την παύση λειτουργίας μη ανταγωνιστικών ανθρακωρυχείων (απόφαση 2010/787 του Συμβουλίου)· </w:t>
            </w:r>
            <w:r>
              <w:rPr>
                <w:i/>
                <w:sz w:val="22"/>
              </w:rPr>
              <w:t>* 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jc w:val="both"/>
              <w:rPr>
                <w:b/>
                <w:sz w:val="22"/>
                <w:szCs w:val="22"/>
              </w:rPr>
            </w:pPr>
            <w:r>
              <w:rPr>
                <w:b/>
                <w:sz w:val="22"/>
              </w:rPr>
              <w:t>Άρθρο 1 — Αποκλεισμός των επιχειρήσεων τις οποίες αφορά ο κανόνας Deggendorf (παράγραφος 4)</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0E10AB" w:rsidRPr="001161D2" w:rsidRDefault="000E10AB" w:rsidP="00B07819">
            <w:pPr>
              <w:jc w:val="both"/>
              <w:rPr>
                <w:sz w:val="22"/>
                <w:szCs w:val="22"/>
              </w:rPr>
            </w:pPr>
            <w:r>
              <w:rPr>
                <w:b/>
                <w:sz w:val="22"/>
                <w:u w:val="single"/>
              </w:rPr>
              <w:t>Δεν</w:t>
            </w:r>
            <w:r>
              <w:rPr>
                <w:sz w:val="22"/>
              </w:rPr>
              <w:t xml:space="preserve"> εφαρμόζεται στα καθεστώτα ενισχύσεων που δεν αποκλείουν ρητά την καταβολή μεμονωμένων ενισχύσεων/ad hoc ενισχύσεων που χορηγείται από το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rPr>
                <w:b/>
                <w:sz w:val="22"/>
                <w:szCs w:val="22"/>
              </w:rPr>
            </w:pPr>
            <w:r>
              <w:rPr>
                <w:b/>
                <w:sz w:val="22"/>
              </w:rPr>
              <w:t>Άρθρο 1 — Αποκλεισμός των προβληματικών επιχειρήσεων (παράγραφος 4)</w:t>
            </w:r>
          </w:p>
        </w:tc>
        <w:tc>
          <w:tcPr>
            <w:tcW w:w="6379" w:type="dxa"/>
            <w:vMerge w:val="restart"/>
            <w:shd w:val="clear" w:color="auto" w:fill="auto"/>
          </w:tcPr>
          <w:p w:rsidR="000E10AB" w:rsidRPr="001161D2" w:rsidRDefault="000E10AB" w:rsidP="006C6F59">
            <w:pPr>
              <w:rPr>
                <w:sz w:val="22"/>
                <w:szCs w:val="22"/>
              </w:rPr>
            </w:pPr>
          </w:p>
        </w:tc>
      </w:tr>
      <w:tr w:rsidR="000E10AB" w:rsidRPr="001161D2" w:rsidTr="001161D2">
        <w:trPr>
          <w:trHeight w:val="486"/>
        </w:trPr>
        <w:tc>
          <w:tcPr>
            <w:tcW w:w="8233" w:type="dxa"/>
            <w:tcBorders>
              <w:bottom w:val="single" w:sz="4" w:space="0" w:color="auto"/>
            </w:tcBorders>
            <w:shd w:val="clear" w:color="auto" w:fill="auto"/>
          </w:tcPr>
          <w:p w:rsidR="000E10AB" w:rsidRPr="001161D2" w:rsidRDefault="000E10AB" w:rsidP="006618E9">
            <w:pPr>
              <w:jc w:val="both"/>
              <w:rPr>
                <w:sz w:val="22"/>
                <w:szCs w:val="22"/>
              </w:rPr>
            </w:pPr>
            <w:r>
              <w:rPr>
                <w:b/>
                <w:sz w:val="22"/>
                <w:u w:val="single"/>
              </w:rPr>
              <w:lastRenderedPageBreak/>
              <w:t>Δεν</w:t>
            </w:r>
            <w:r>
              <w:rPr>
                <w:sz w:val="22"/>
              </w:rPr>
              <w:t xml:space="preserve"> εφαρμόζεται στις ενισχύσεις για προβληματικές επιχειρήσεις </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jc w:val="both"/>
              <w:rPr>
                <w:b/>
                <w:sz w:val="22"/>
                <w:szCs w:val="22"/>
              </w:rPr>
            </w:pPr>
            <w:r>
              <w:rPr>
                <w:b/>
                <w:sz w:val="22"/>
              </w:rPr>
              <w:t>Άρθρο 1 — Αποκλεισμός των μέτρων ενισχύσεων που παραβιάζουν το δίκαιο της Ένωσης (παράγραφος 5)</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0E10AB" w:rsidRPr="001161D2" w:rsidRDefault="008C6BDA" w:rsidP="001161D2">
            <w:pPr>
              <w:autoSpaceDE w:val="0"/>
              <w:autoSpaceDN w:val="0"/>
              <w:adjustRightInd w:val="0"/>
              <w:rPr>
                <w:rFonts w:ascii="EUAlbertina-Regu" w:hAnsi="EUAlbertina-Regu" w:cs="EUAlbertina-Regu"/>
                <w:sz w:val="22"/>
                <w:szCs w:val="22"/>
              </w:rPr>
            </w:pPr>
            <w:r>
              <w:rPr>
                <w:b/>
                <w:sz w:val="22"/>
              </w:rPr>
              <w:t>Δεν</w:t>
            </w:r>
            <w:r>
              <w:rPr>
                <w:sz w:val="22"/>
              </w:rP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0E10AB" w:rsidRPr="001161D2" w:rsidRDefault="000E10AB" w:rsidP="001161D2">
            <w:pPr>
              <w:autoSpaceDE w:val="0"/>
              <w:autoSpaceDN w:val="0"/>
              <w:adjustRightInd w:val="0"/>
              <w:jc w:val="both"/>
              <w:rPr>
                <w:sz w:val="22"/>
                <w:szCs w:val="22"/>
              </w:rPr>
            </w:pPr>
            <w:r>
              <w:t>α) την υποχρέωση του δικαιούχου να διατηρεί στο αντίστοιχο κράτος μέλος είτε την έδρα του είτε την κύρια εγκατάστασή του.</w:t>
            </w:r>
            <w:r>
              <w:rPr>
                <w:sz w:val="22"/>
              </w:rPr>
              <w:t xml:space="preserve">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0E10AB" w:rsidRPr="001161D2" w:rsidRDefault="000E10AB" w:rsidP="001161D2">
            <w:pPr>
              <w:autoSpaceDE w:val="0"/>
              <w:autoSpaceDN w:val="0"/>
              <w:adjustRightInd w:val="0"/>
              <w:jc w:val="both"/>
              <w:rPr>
                <w:sz w:val="22"/>
                <w:szCs w:val="22"/>
              </w:rPr>
            </w:pPr>
            <w:r>
              <w:rPr>
                <w:sz w:val="22"/>
              </w:rPr>
              <w:t>β) την υποχρέωση του δικαιούχου να χρησιμοποιεί προϊόντα εγχώριας παραγωγής ή εθνικές υπηρεσίες·</w:t>
            </w:r>
          </w:p>
          <w:p w:rsidR="000E10AB" w:rsidRPr="001161D2" w:rsidRDefault="000E10AB" w:rsidP="001161D2">
            <w:pPr>
              <w:autoSpaceDE w:val="0"/>
              <w:autoSpaceDN w:val="0"/>
              <w:adjustRightInd w:val="0"/>
              <w:jc w:val="both"/>
              <w:rPr>
                <w:sz w:val="22"/>
                <w:szCs w:val="22"/>
              </w:rPr>
            </w:pPr>
            <w:r>
              <w:rPr>
                <w:sz w:val="22"/>
              </w:rPr>
              <w:t>γ) τον περιορισμό της δυνατότητας των δικαιούχων να κάνουν χρήση των αποτελεσμάτων της έρευνας, ανάπτυξης και καινοτομίας σε άλλα κράτη μέλη.</w:t>
            </w:r>
          </w:p>
        </w:tc>
        <w:tc>
          <w:tcPr>
            <w:tcW w:w="6379" w:type="dxa"/>
            <w:vMerge/>
            <w:shd w:val="clear" w:color="auto" w:fill="auto"/>
          </w:tcPr>
          <w:p w:rsidR="000E10AB" w:rsidRPr="001161D2" w:rsidRDefault="000E10AB" w:rsidP="001161D2">
            <w:pPr>
              <w:rPr>
                <w:sz w:val="22"/>
                <w:szCs w:val="22"/>
              </w:rPr>
            </w:pPr>
          </w:p>
        </w:tc>
      </w:tr>
      <w:tr w:rsidR="000E10AB" w:rsidRPr="001161D2" w:rsidTr="006D79B1">
        <w:trPr>
          <w:trHeight w:val="271"/>
        </w:trPr>
        <w:tc>
          <w:tcPr>
            <w:tcW w:w="8233" w:type="dxa"/>
            <w:shd w:val="clear" w:color="auto" w:fill="D9D9D9"/>
          </w:tcPr>
          <w:p w:rsidR="000E10AB" w:rsidRPr="001161D2" w:rsidRDefault="000E10AB" w:rsidP="00AE3359">
            <w:pPr>
              <w:jc w:val="both"/>
              <w:rPr>
                <w:b/>
                <w:sz w:val="22"/>
                <w:szCs w:val="22"/>
              </w:rPr>
            </w:pPr>
            <w:r>
              <w:rPr>
                <w:b/>
                <w:sz w:val="22"/>
              </w:rPr>
              <w:t>Άρθρο 4 — Όρια κοινοποίησης μεμονωμένων ενισχύσεων</w:t>
            </w:r>
          </w:p>
        </w:tc>
        <w:tc>
          <w:tcPr>
            <w:tcW w:w="6379" w:type="dxa"/>
            <w:shd w:val="clear" w:color="auto" w:fill="D9D9D9"/>
          </w:tcPr>
          <w:p w:rsidR="000E10AB" w:rsidRPr="001161D2" w:rsidRDefault="000E10AB" w:rsidP="00AE3359">
            <w:pPr>
              <w:rPr>
                <w:sz w:val="22"/>
                <w:szCs w:val="22"/>
              </w:rPr>
            </w:pPr>
          </w:p>
        </w:tc>
      </w:tr>
      <w:tr w:rsidR="000E10AB" w:rsidRPr="001161D2" w:rsidTr="00895393">
        <w:trPr>
          <w:trHeight w:val="271"/>
        </w:trPr>
        <w:tc>
          <w:tcPr>
            <w:tcW w:w="8233" w:type="dxa"/>
            <w:tcBorders>
              <w:bottom w:val="single" w:sz="4" w:space="0" w:color="auto"/>
            </w:tcBorders>
            <w:shd w:val="clear" w:color="auto" w:fill="auto"/>
          </w:tcPr>
          <w:p w:rsidR="000E10AB" w:rsidRPr="001161D2" w:rsidRDefault="000E10AB" w:rsidP="00AE3359">
            <w:pPr>
              <w:rPr>
                <w:sz w:val="22"/>
                <w:szCs w:val="22"/>
              </w:rPr>
            </w:pPr>
            <w:r>
              <w:rPr>
                <w:b/>
                <w:sz w:val="22"/>
              </w:rPr>
              <w:t>Δεν</w:t>
            </w:r>
            <w:r>
              <w:rPr>
                <w:sz w:val="22"/>
              </w:rPr>
              <w:t xml:space="preserve"> εφαρμόζεται στις ενισχύσεις που υπερβαίνουν:</w:t>
            </w:r>
          </w:p>
          <w:p w:rsidR="00AB5424" w:rsidRDefault="00AB5424" w:rsidP="006C6F59">
            <w:pPr>
              <w:numPr>
                <w:ilvl w:val="0"/>
                <w:numId w:val="7"/>
              </w:numPr>
              <w:autoSpaceDE w:val="0"/>
              <w:autoSpaceDN w:val="0"/>
              <w:adjustRightInd w:val="0"/>
              <w:jc w:val="both"/>
              <w:rPr>
                <w:sz w:val="22"/>
                <w:szCs w:val="22"/>
              </w:rPr>
            </w:pPr>
            <w:r>
              <w:rPr>
                <w:sz w:val="22"/>
              </w:rPr>
              <w:t>για τις επενδυτικές ενισχύσεις για τον πολιτισμό και τη διατήρηση της κληρονομιάς: 150 εκατ. EUR ανά έργο· ενισχύσεις λειτουργίας για τον πολιτισμό και τη διατήρηση της κληρονομιάς: 75 εκατ. EUR ανά επιχείρηση ετησίως·</w:t>
            </w:r>
          </w:p>
          <w:p w:rsidR="000E10AB" w:rsidRPr="001161D2" w:rsidRDefault="008C6BDA" w:rsidP="006C6F59">
            <w:pPr>
              <w:numPr>
                <w:ilvl w:val="0"/>
                <w:numId w:val="7"/>
              </w:numPr>
              <w:autoSpaceDE w:val="0"/>
              <w:autoSpaceDN w:val="0"/>
              <w:adjustRightInd w:val="0"/>
              <w:jc w:val="both"/>
              <w:rPr>
                <w:sz w:val="22"/>
                <w:szCs w:val="22"/>
              </w:rPr>
            </w:pPr>
            <w:r>
              <w:rPr>
                <w:sz w:val="22"/>
              </w:rPr>
              <w:t>για τα καθεστώτα ενισχύσεων για οπτικοακουστικά έργα: 50 εκατ. EUR ανά καθεστώς ετησίως.</w:t>
            </w:r>
          </w:p>
          <w:p w:rsidR="00AA1EC8" w:rsidRPr="001161D2" w:rsidRDefault="00AA1EC8" w:rsidP="001161D2">
            <w:pPr>
              <w:autoSpaceDE w:val="0"/>
              <w:autoSpaceDN w:val="0"/>
              <w:adjustRightInd w:val="0"/>
              <w:jc w:val="both"/>
              <w:rPr>
                <w:sz w:val="22"/>
                <w:szCs w:val="22"/>
              </w:rPr>
            </w:pPr>
            <w:r>
              <w:rPr>
                <w:sz w:val="22"/>
              </w:rPr>
              <w:t xml:space="preserve">Τα όρια </w:t>
            </w:r>
            <w:r>
              <w:rPr>
                <w:b/>
                <w:sz w:val="22"/>
              </w:rPr>
              <w:t>δεν</w:t>
            </w:r>
            <w:r>
              <w:rPr>
                <w:sz w:val="22"/>
              </w:rPr>
              <w:t xml:space="preserve"> επιτρέπεται να καταστρατηγούνται με τον τεχνητό διαχωρισμό των καθεστώτων ενισχύσεων ή των έργων ενίσχυσης.</w:t>
            </w:r>
          </w:p>
        </w:tc>
        <w:tc>
          <w:tcPr>
            <w:tcW w:w="6379" w:type="dxa"/>
            <w:shd w:val="clear" w:color="auto" w:fill="auto"/>
          </w:tcPr>
          <w:p w:rsidR="000E10AB" w:rsidRPr="001161D2" w:rsidRDefault="000E10AB" w:rsidP="001161D2">
            <w:pPr>
              <w:rPr>
                <w:sz w:val="22"/>
                <w:szCs w:val="22"/>
              </w:rPr>
            </w:pPr>
          </w:p>
        </w:tc>
      </w:tr>
      <w:tr w:rsidR="000E10AB" w:rsidRPr="001161D2" w:rsidTr="006D79B1">
        <w:trPr>
          <w:trHeight w:val="344"/>
        </w:trPr>
        <w:tc>
          <w:tcPr>
            <w:tcW w:w="8233" w:type="dxa"/>
            <w:shd w:val="clear" w:color="auto" w:fill="D9D9D9"/>
          </w:tcPr>
          <w:p w:rsidR="000E10AB" w:rsidRPr="001161D2" w:rsidRDefault="000E10AB" w:rsidP="00AE3359">
            <w:pPr>
              <w:jc w:val="both"/>
              <w:rPr>
                <w:b/>
                <w:sz w:val="22"/>
                <w:szCs w:val="22"/>
              </w:rPr>
            </w:pPr>
            <w:r>
              <w:rPr>
                <w:b/>
                <w:sz w:val="22"/>
              </w:rPr>
              <w:t xml:space="preserve">Άρθρο 5 — Διαφάνεια των ενισχύσεων </w:t>
            </w:r>
          </w:p>
        </w:tc>
        <w:tc>
          <w:tcPr>
            <w:tcW w:w="6379" w:type="dxa"/>
            <w:shd w:val="clear" w:color="auto" w:fill="D9D9D9"/>
          </w:tcPr>
          <w:p w:rsidR="000E10AB" w:rsidRPr="001161D2" w:rsidRDefault="000E10AB" w:rsidP="00AE3359">
            <w:pPr>
              <w:rPr>
                <w:sz w:val="22"/>
                <w:szCs w:val="22"/>
              </w:rPr>
            </w:pPr>
          </w:p>
        </w:tc>
      </w:tr>
      <w:tr w:rsidR="000E10AB" w:rsidRPr="001161D2" w:rsidTr="00895393">
        <w:trPr>
          <w:trHeight w:val="344"/>
        </w:trPr>
        <w:tc>
          <w:tcPr>
            <w:tcW w:w="8233" w:type="dxa"/>
            <w:shd w:val="clear" w:color="auto" w:fill="auto"/>
          </w:tcPr>
          <w:p w:rsidR="000E10AB" w:rsidRPr="001161D2" w:rsidRDefault="000E10AB" w:rsidP="00AE3359">
            <w:pPr>
              <w:jc w:val="both"/>
              <w:rPr>
                <w:sz w:val="22"/>
                <w:szCs w:val="22"/>
              </w:rPr>
            </w:pPr>
            <w:r>
              <w:rPr>
                <w:sz w:val="22"/>
              </w:rPr>
              <w:t>Εφαρμόζεται μόνο στις διαφανείς ενισχύσεις· ως τέτοιες λογίζονται:</w:t>
            </w:r>
          </w:p>
          <w:p w:rsidR="000E10AB" w:rsidRPr="001161D2" w:rsidRDefault="000E10AB" w:rsidP="006C6F59">
            <w:pPr>
              <w:numPr>
                <w:ilvl w:val="0"/>
                <w:numId w:val="5"/>
              </w:numPr>
              <w:tabs>
                <w:tab w:val="clear" w:pos="720"/>
                <w:tab w:val="num" w:pos="328"/>
              </w:tabs>
              <w:ind w:left="328" w:hanging="283"/>
              <w:jc w:val="both"/>
              <w:rPr>
                <w:sz w:val="22"/>
                <w:szCs w:val="22"/>
              </w:rPr>
            </w:pPr>
            <w:r>
              <w:rPr>
                <w:sz w:val="22"/>
              </w:rPr>
              <w:t>οι επιχορηγήσεις και επιδοτήσεις επιτοκίου</w:t>
            </w:r>
          </w:p>
          <w:p w:rsidR="000E10AB" w:rsidRPr="001161D2" w:rsidRDefault="000E10AB" w:rsidP="006C6F59">
            <w:pPr>
              <w:numPr>
                <w:ilvl w:val="0"/>
                <w:numId w:val="3"/>
              </w:numPr>
              <w:tabs>
                <w:tab w:val="clear" w:pos="720"/>
                <w:tab w:val="num" w:pos="328"/>
              </w:tabs>
              <w:ind w:left="328" w:hanging="283"/>
              <w:jc w:val="both"/>
              <w:rPr>
                <w:sz w:val="22"/>
                <w:szCs w:val="22"/>
              </w:rPr>
            </w:pPr>
            <w:r>
              <w:rPr>
                <w:sz w:val="22"/>
              </w:rP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0E10AB" w:rsidRPr="001161D2" w:rsidRDefault="000E10AB" w:rsidP="001161D2">
            <w:pPr>
              <w:numPr>
                <w:ilvl w:val="0"/>
                <w:numId w:val="3"/>
              </w:numPr>
              <w:tabs>
                <w:tab w:val="clear" w:pos="720"/>
                <w:tab w:val="num" w:pos="328"/>
              </w:tabs>
              <w:ind w:left="328" w:hanging="283"/>
              <w:jc w:val="both"/>
              <w:rPr>
                <w:sz w:val="22"/>
                <w:szCs w:val="22"/>
              </w:rPr>
            </w:pPr>
            <w:r>
              <w:rPr>
                <w:sz w:val="22"/>
              </w:rPr>
              <w:t xml:space="preserve">Εγγυήσεις </w:t>
            </w:r>
          </w:p>
          <w:p w:rsidR="000E10AB" w:rsidRPr="001161D2" w:rsidRDefault="000E10AB" w:rsidP="001161D2">
            <w:pPr>
              <w:tabs>
                <w:tab w:val="num" w:pos="470"/>
              </w:tabs>
              <w:ind w:left="328"/>
              <w:jc w:val="both"/>
              <w:rPr>
                <w:sz w:val="22"/>
                <w:szCs w:val="22"/>
              </w:rPr>
            </w:pPr>
            <w:r>
              <w:rPr>
                <w:sz w:val="22"/>
              </w:rP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rsidR="000E10AB" w:rsidRPr="001161D2" w:rsidRDefault="000E10AB" w:rsidP="001161D2">
            <w:pPr>
              <w:tabs>
                <w:tab w:val="num" w:pos="328"/>
              </w:tabs>
              <w:ind w:left="328" w:hanging="283"/>
              <w:jc w:val="both"/>
              <w:rPr>
                <w:sz w:val="22"/>
                <w:szCs w:val="22"/>
              </w:rPr>
            </w:pPr>
            <w:r>
              <w:rPr>
                <w:sz w:val="22"/>
              </w:rPr>
              <w:t xml:space="preserve">ή </w:t>
            </w:r>
          </w:p>
          <w:p w:rsidR="000E10AB" w:rsidRPr="001161D2" w:rsidRDefault="000E10AB" w:rsidP="001161D2">
            <w:pPr>
              <w:tabs>
                <w:tab w:val="num" w:pos="328"/>
              </w:tabs>
              <w:ind w:left="328"/>
              <w:jc w:val="both"/>
              <w:rPr>
                <w:sz w:val="22"/>
                <w:szCs w:val="22"/>
              </w:rPr>
            </w:pPr>
            <w:r>
              <w:rPr>
                <w:sz w:val="22"/>
              </w:rPr>
              <w:t xml:space="preserve">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w:t>
            </w:r>
            <w:r>
              <w:rPr>
                <w:sz w:val="22"/>
              </w:rPr>
              <w:lastRenderedPageBreak/>
              <w:t>ΓΚΑΚ)</w:t>
            </w:r>
          </w:p>
          <w:p w:rsidR="000E10AB" w:rsidRPr="001161D2" w:rsidRDefault="000E10AB" w:rsidP="001161D2">
            <w:pPr>
              <w:numPr>
                <w:ilvl w:val="0"/>
                <w:numId w:val="3"/>
              </w:numPr>
              <w:tabs>
                <w:tab w:val="clear" w:pos="720"/>
                <w:tab w:val="num" w:pos="328"/>
              </w:tabs>
              <w:ind w:left="328" w:hanging="283"/>
              <w:jc w:val="both"/>
              <w:rPr>
                <w:sz w:val="22"/>
                <w:szCs w:val="22"/>
              </w:rPr>
            </w:pPr>
            <w:r>
              <w:rPr>
                <w:sz w:val="22"/>
              </w:rPr>
              <w:t>τα φορολογικά πλεονεκτήματα (όταν προβλέπεται ανώτατο όριο με το οποίο διασφαλίζεται ότι δεν γίνεται υπέρβαση του ορίου)</w:t>
            </w:r>
          </w:p>
          <w:p w:rsidR="00AB5424" w:rsidRDefault="00AB5424" w:rsidP="00AB5424">
            <w:pPr>
              <w:numPr>
                <w:ilvl w:val="0"/>
                <w:numId w:val="3"/>
              </w:numPr>
              <w:tabs>
                <w:tab w:val="clear" w:pos="720"/>
                <w:tab w:val="num" w:pos="328"/>
              </w:tabs>
              <w:autoSpaceDE w:val="0"/>
              <w:autoSpaceDN w:val="0"/>
              <w:adjustRightInd w:val="0"/>
              <w:ind w:left="328" w:hanging="283"/>
              <w:jc w:val="both"/>
              <w:rPr>
                <w:sz w:val="22"/>
                <w:szCs w:val="22"/>
              </w:rPr>
            </w:pPr>
            <w:r>
              <w:rPr>
                <w:sz w:val="22"/>
              </w:rPr>
              <w:t>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Επιτ ροπή.</w:t>
            </w:r>
          </w:p>
          <w:p w:rsidR="000E10AB" w:rsidRPr="00E93688" w:rsidRDefault="00AB5424" w:rsidP="00E93688">
            <w:pPr>
              <w:numPr>
                <w:ilvl w:val="0"/>
                <w:numId w:val="3"/>
              </w:numPr>
              <w:tabs>
                <w:tab w:val="clear" w:pos="720"/>
                <w:tab w:val="num" w:pos="328"/>
              </w:tabs>
              <w:autoSpaceDE w:val="0"/>
              <w:autoSpaceDN w:val="0"/>
              <w:adjustRightInd w:val="0"/>
              <w:ind w:left="328" w:hanging="283"/>
              <w:jc w:val="both"/>
              <w:rPr>
                <w:sz w:val="22"/>
                <w:szCs w:val="22"/>
              </w:rPr>
            </w:pPr>
            <w:r>
              <w:rPr>
                <w:sz w:val="22"/>
              </w:rPr>
              <w:t>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επικαιροποιημένο και γενικά αποδεκτό δείκτη αναφοράς.</w:t>
            </w:r>
          </w:p>
        </w:tc>
        <w:tc>
          <w:tcPr>
            <w:tcW w:w="6379" w:type="dxa"/>
            <w:shd w:val="clear" w:color="auto" w:fill="auto"/>
          </w:tcPr>
          <w:p w:rsidR="000E10AB" w:rsidRPr="001161D2" w:rsidRDefault="000E10AB" w:rsidP="001161D2">
            <w:pPr>
              <w:rPr>
                <w:sz w:val="22"/>
                <w:szCs w:val="22"/>
              </w:rPr>
            </w:pPr>
          </w:p>
        </w:tc>
      </w:tr>
      <w:tr w:rsidR="001A7FDD" w:rsidRPr="001161D2" w:rsidTr="006D79B1">
        <w:trPr>
          <w:trHeight w:val="344"/>
        </w:trPr>
        <w:tc>
          <w:tcPr>
            <w:tcW w:w="8233" w:type="dxa"/>
            <w:shd w:val="clear" w:color="auto" w:fill="D9D9D9"/>
          </w:tcPr>
          <w:p w:rsidR="001A7FDD" w:rsidRPr="001161D2" w:rsidRDefault="001A7FDD" w:rsidP="00AE3359">
            <w:pPr>
              <w:jc w:val="both"/>
              <w:rPr>
                <w:b/>
                <w:sz w:val="22"/>
                <w:szCs w:val="22"/>
              </w:rPr>
            </w:pPr>
            <w:r>
              <w:rPr>
                <w:b/>
                <w:sz w:val="22"/>
              </w:rPr>
              <w:lastRenderedPageBreak/>
              <w:t>Άρθρο 6 — Χαρακτήρας κινήτρου</w:t>
            </w:r>
          </w:p>
        </w:tc>
        <w:tc>
          <w:tcPr>
            <w:tcW w:w="6379" w:type="dxa"/>
            <w:shd w:val="clear" w:color="auto" w:fill="D9D9D9"/>
          </w:tcPr>
          <w:p w:rsidR="001A7FDD" w:rsidRPr="001161D2" w:rsidRDefault="001A7FDD" w:rsidP="00AE3359">
            <w:pPr>
              <w:rPr>
                <w:sz w:val="22"/>
                <w:szCs w:val="22"/>
              </w:rPr>
            </w:pPr>
          </w:p>
        </w:tc>
      </w:tr>
      <w:tr w:rsidR="001A7FDD" w:rsidRPr="001161D2" w:rsidTr="00E93688">
        <w:trPr>
          <w:trHeight w:val="344"/>
        </w:trPr>
        <w:tc>
          <w:tcPr>
            <w:tcW w:w="8233" w:type="dxa"/>
            <w:shd w:val="clear" w:color="auto" w:fill="auto"/>
          </w:tcPr>
          <w:p w:rsidR="001A7FDD" w:rsidRPr="00ED6412" w:rsidRDefault="001A7FDD" w:rsidP="001A7FDD">
            <w:pPr>
              <w:rPr>
                <w:sz w:val="22"/>
                <w:szCs w:val="22"/>
              </w:rPr>
            </w:pPr>
            <w:r>
              <w:rPr>
                <w:sz w:val="22"/>
              </w:rPr>
              <w:t>Οι ενισχύσεις μπορούν να τύχουν απαλλαγής μόνον εάν έχουν χαρακτήρα κινήτρου:</w:t>
            </w:r>
          </w:p>
          <w:p w:rsidR="001A7FDD" w:rsidRPr="00ED6412" w:rsidRDefault="001A7FDD" w:rsidP="001A7FDD">
            <w:pPr>
              <w:numPr>
                <w:ilvl w:val="0"/>
                <w:numId w:val="4"/>
              </w:numPr>
              <w:rPr>
                <w:sz w:val="22"/>
                <w:szCs w:val="22"/>
              </w:rPr>
            </w:pPr>
            <w:r>
              <w:rPr>
                <w:sz w:val="22"/>
              </w:rPr>
              <w:t xml:space="preserve">Ο δικαιούχος έχει υποβάλει </w:t>
            </w:r>
            <w:r>
              <w:rPr>
                <w:b/>
                <w:sz w:val="22"/>
              </w:rPr>
              <w:t>αίτηση</w:t>
            </w:r>
            <w:r>
              <w:rPr>
                <w:sz w:val="22"/>
              </w:rPr>
              <w:t xml:space="preserve"> ενίσχυσης στο κράτος μέλος, πριν από την έναρξη των εργασιών ή του έργου, που περιλαμβάνει τουλάχιστον τα ακόλουθα στοιχεία:</w:t>
            </w:r>
          </w:p>
          <w:p w:rsidR="001A7FDD" w:rsidRPr="00ED6412" w:rsidRDefault="001A7FDD" w:rsidP="00FC2121">
            <w:pPr>
              <w:numPr>
                <w:ilvl w:val="0"/>
                <w:numId w:val="29"/>
              </w:numPr>
              <w:autoSpaceDE w:val="0"/>
              <w:autoSpaceDN w:val="0"/>
              <w:adjustRightInd w:val="0"/>
              <w:rPr>
                <w:sz w:val="22"/>
                <w:szCs w:val="22"/>
              </w:rPr>
            </w:pPr>
            <w:r>
              <w:rPr>
                <w:sz w:val="22"/>
              </w:rPr>
              <w:t>την ονομασία και το μέγεθος της επιχείρησης·</w:t>
            </w:r>
          </w:p>
          <w:p w:rsidR="001A7FDD" w:rsidRPr="00ED6412" w:rsidRDefault="001A7FDD" w:rsidP="00FC2121">
            <w:pPr>
              <w:numPr>
                <w:ilvl w:val="0"/>
                <w:numId w:val="29"/>
              </w:numPr>
              <w:autoSpaceDE w:val="0"/>
              <w:autoSpaceDN w:val="0"/>
              <w:adjustRightInd w:val="0"/>
              <w:rPr>
                <w:sz w:val="22"/>
                <w:szCs w:val="22"/>
              </w:rPr>
            </w:pPr>
            <w:r>
              <w:rPr>
                <w:sz w:val="22"/>
              </w:rPr>
              <w:t>την περιγραφή του έργου, συμπεριλαμβανομένων των ημερομηνιών έναρξης και λήξης,</w:t>
            </w:r>
          </w:p>
          <w:p w:rsidR="001A7FDD" w:rsidRPr="00ED6412" w:rsidRDefault="001A7FDD" w:rsidP="00FC2121">
            <w:pPr>
              <w:numPr>
                <w:ilvl w:val="0"/>
                <w:numId w:val="29"/>
              </w:numPr>
              <w:autoSpaceDE w:val="0"/>
              <w:autoSpaceDN w:val="0"/>
              <w:adjustRightInd w:val="0"/>
              <w:rPr>
                <w:sz w:val="22"/>
                <w:szCs w:val="22"/>
              </w:rPr>
            </w:pPr>
            <w:r>
              <w:rPr>
                <w:sz w:val="22"/>
              </w:rPr>
              <w:t>τον τόπο εκτέλεσης του έργου·</w:t>
            </w:r>
          </w:p>
          <w:p w:rsidR="001A7FDD" w:rsidRPr="00ED6412" w:rsidRDefault="001A7FDD" w:rsidP="00FC2121">
            <w:pPr>
              <w:numPr>
                <w:ilvl w:val="0"/>
                <w:numId w:val="29"/>
              </w:numPr>
              <w:autoSpaceDE w:val="0"/>
              <w:autoSpaceDN w:val="0"/>
              <w:adjustRightInd w:val="0"/>
              <w:rPr>
                <w:sz w:val="22"/>
                <w:szCs w:val="22"/>
              </w:rPr>
            </w:pPr>
            <w:r>
              <w:rPr>
                <w:sz w:val="22"/>
              </w:rPr>
              <w:t>κατάλογο των δαπανών του έργου·</w:t>
            </w:r>
          </w:p>
          <w:p w:rsidR="001A7FDD" w:rsidRPr="00ED6412" w:rsidRDefault="001A7FDD" w:rsidP="00FC2121">
            <w:pPr>
              <w:numPr>
                <w:ilvl w:val="0"/>
                <w:numId w:val="29"/>
              </w:numPr>
              <w:autoSpaceDE w:val="0"/>
              <w:autoSpaceDN w:val="0"/>
              <w:adjustRightInd w:val="0"/>
              <w:jc w:val="both"/>
              <w:rPr>
                <w:sz w:val="22"/>
                <w:szCs w:val="22"/>
              </w:rPr>
            </w:pPr>
            <w:r>
              <w:rPr>
                <w:sz w:val="22"/>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r w:rsidR="00FC2121">
              <w:rPr>
                <w:sz w:val="22"/>
                <w:lang w:val="en-GB"/>
              </w:rPr>
              <w:t>.</w:t>
            </w:r>
          </w:p>
          <w:p w:rsidR="001A7FDD" w:rsidRPr="00ED6412" w:rsidRDefault="001A7FDD" w:rsidP="001A7FDD">
            <w:pPr>
              <w:numPr>
                <w:ilvl w:val="0"/>
                <w:numId w:val="4"/>
              </w:numPr>
              <w:autoSpaceDE w:val="0"/>
              <w:autoSpaceDN w:val="0"/>
              <w:adjustRightInd w:val="0"/>
              <w:jc w:val="both"/>
              <w:rPr>
                <w:sz w:val="22"/>
                <w:szCs w:val="22"/>
              </w:rPr>
            </w:pPr>
            <w:r>
              <w:rPr>
                <w:b/>
                <w:sz w:val="22"/>
              </w:rPr>
              <w:t>Ad hoc ενισχύσεις σε μεγάλες επιχειρήσεις</w:t>
            </w:r>
            <w:r>
              <w:rPr>
                <w:sz w:val="22"/>
              </w:rPr>
              <w:t>·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1A7FDD" w:rsidRPr="00ED6412" w:rsidRDefault="001A7FDD" w:rsidP="001A7FDD">
            <w:pPr>
              <w:autoSpaceDE w:val="0"/>
              <w:autoSpaceDN w:val="0"/>
              <w:adjustRightInd w:val="0"/>
              <w:ind w:left="754" w:hanging="426"/>
              <w:jc w:val="both"/>
              <w:rPr>
                <w:sz w:val="22"/>
                <w:szCs w:val="22"/>
              </w:rPr>
            </w:pPr>
            <w:r>
              <w:rPr>
                <w:sz w:val="22"/>
              </w:rPr>
              <w:t>- ουσιώδη αύξηση του αντικειμένου του έργου/της δραστηριότητας ως αποτέλεσμα της ενίσχυσης· ή</w:t>
            </w:r>
          </w:p>
          <w:p w:rsidR="001A7FDD" w:rsidRPr="00ED6412" w:rsidRDefault="001A7FDD" w:rsidP="001A7FDD">
            <w:pPr>
              <w:autoSpaceDE w:val="0"/>
              <w:autoSpaceDN w:val="0"/>
              <w:adjustRightInd w:val="0"/>
              <w:ind w:left="754" w:hanging="426"/>
              <w:jc w:val="both"/>
              <w:rPr>
                <w:sz w:val="22"/>
                <w:szCs w:val="22"/>
              </w:rPr>
            </w:pPr>
            <w:r>
              <w:rPr>
                <w:sz w:val="22"/>
              </w:rPr>
              <w:t>- ουσιώδη αύξηση του συνολικού ποσού που δαπανά ο δικαιούχος για το έργο/τη δραστηριότητα ως αποτέλεσμα της ενίσχυσης· ή</w:t>
            </w:r>
          </w:p>
          <w:p w:rsidR="001A7FDD" w:rsidRPr="00ED6412" w:rsidRDefault="001A7FDD" w:rsidP="001A7FDD">
            <w:pPr>
              <w:autoSpaceDE w:val="0"/>
              <w:autoSpaceDN w:val="0"/>
              <w:adjustRightInd w:val="0"/>
              <w:ind w:left="754" w:hanging="426"/>
              <w:jc w:val="both"/>
              <w:rPr>
                <w:sz w:val="22"/>
                <w:szCs w:val="22"/>
              </w:rPr>
            </w:pPr>
            <w:r>
              <w:rPr>
                <w:sz w:val="22"/>
              </w:rPr>
              <w:t>- ουσιώδη αύξηση της ταχύτητας ολοκλήρωσης του συγκεκριμένου έργου/δραστηριότητας.</w:t>
            </w:r>
          </w:p>
          <w:p w:rsidR="001A7FDD" w:rsidRPr="00ED6412" w:rsidRDefault="001A7FDD" w:rsidP="001A7FDD">
            <w:pPr>
              <w:ind w:left="396"/>
              <w:rPr>
                <w:sz w:val="22"/>
                <w:szCs w:val="22"/>
              </w:rPr>
            </w:pPr>
            <w:r>
              <w:rPr>
                <w:sz w:val="22"/>
                <w:szCs w:val="22"/>
              </w:rPr>
              <w:sym w:font="Wingdings" w:char="F0E0"/>
            </w:r>
            <w:r>
              <w:rPr>
                <w:b/>
                <w:sz w:val="22"/>
              </w:rPr>
              <w:t>Εξαιρέσεις</w:t>
            </w:r>
          </w:p>
          <w:p w:rsidR="001A7FDD" w:rsidRPr="00ED6412" w:rsidRDefault="001A7FDD" w:rsidP="001A7FDD">
            <w:pPr>
              <w:numPr>
                <w:ilvl w:val="0"/>
                <w:numId w:val="4"/>
              </w:numPr>
              <w:rPr>
                <w:sz w:val="22"/>
                <w:szCs w:val="22"/>
              </w:rPr>
            </w:pPr>
            <w:r>
              <w:rPr>
                <w:sz w:val="22"/>
              </w:rPr>
              <w:t>Φορολογικά πλεονεκτήματα εάν:</w:t>
            </w:r>
          </w:p>
          <w:p w:rsidR="001A7FDD" w:rsidRPr="00E93688" w:rsidRDefault="001A7FDD" w:rsidP="00FC2121">
            <w:pPr>
              <w:numPr>
                <w:ilvl w:val="0"/>
                <w:numId w:val="30"/>
              </w:numPr>
              <w:autoSpaceDE w:val="0"/>
              <w:autoSpaceDN w:val="0"/>
              <w:adjustRightInd w:val="0"/>
              <w:jc w:val="both"/>
              <w:rPr>
                <w:b/>
                <w:sz w:val="22"/>
                <w:szCs w:val="22"/>
              </w:rPr>
            </w:pPr>
            <w:r>
              <w:rPr>
                <w:sz w:val="22"/>
              </w:rPr>
              <w:t xml:space="preserve">με το μέτρο παρέχεται δικαίωμα για ενισχύσεις βάσει αντικειμενικών κριτηρίων </w:t>
            </w:r>
            <w:r>
              <w:rPr>
                <w:sz w:val="22"/>
              </w:rPr>
              <w:lastRenderedPageBreak/>
              <w:t xml:space="preserve">και χωρίς περαιτέρω άσκηση διακριτικής ευχέρειας από την πλευρά του κράτους μέλους· και </w:t>
            </w:r>
          </w:p>
          <w:p w:rsidR="001A7FDD" w:rsidRPr="00E93688" w:rsidRDefault="001A7FDD" w:rsidP="00FC2121">
            <w:pPr>
              <w:numPr>
                <w:ilvl w:val="0"/>
                <w:numId w:val="30"/>
              </w:numPr>
              <w:autoSpaceDE w:val="0"/>
              <w:autoSpaceDN w:val="0"/>
              <w:adjustRightInd w:val="0"/>
              <w:jc w:val="both"/>
              <w:rPr>
                <w:b/>
                <w:sz w:val="22"/>
                <w:szCs w:val="22"/>
              </w:rPr>
            </w:pPr>
            <w:r>
              <w:rPr>
                <w:sz w:val="22"/>
              </w:rP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p w:rsidR="001A7FDD" w:rsidRPr="001161D2" w:rsidRDefault="001A7FDD" w:rsidP="00E93688">
            <w:pPr>
              <w:numPr>
                <w:ilvl w:val="0"/>
                <w:numId w:val="4"/>
              </w:numPr>
              <w:autoSpaceDE w:val="0"/>
              <w:autoSpaceDN w:val="0"/>
              <w:adjustRightInd w:val="0"/>
              <w:jc w:val="both"/>
              <w:rPr>
                <w:b/>
                <w:sz w:val="22"/>
                <w:szCs w:val="22"/>
              </w:rPr>
            </w:pPr>
            <w:r>
              <w:rPr>
                <w:b/>
              </w:rPr>
              <w:t>ενισχύσεις για τον πολιτισμό και τη διατήρηση της κληρονομιάς</w:t>
            </w:r>
            <w:r>
              <w:t>, εφόσον πληρούνται οι προϋποθέσεις που προβλέπονται στο άρθρο 53.</w:t>
            </w:r>
          </w:p>
        </w:tc>
        <w:tc>
          <w:tcPr>
            <w:tcW w:w="6379" w:type="dxa"/>
            <w:shd w:val="clear" w:color="auto" w:fill="auto"/>
          </w:tcPr>
          <w:p w:rsidR="001A7FDD" w:rsidRPr="001161D2" w:rsidRDefault="001A7FDD" w:rsidP="00AE3359">
            <w:pPr>
              <w:rPr>
                <w:sz w:val="22"/>
                <w:szCs w:val="22"/>
              </w:rPr>
            </w:pPr>
          </w:p>
        </w:tc>
      </w:tr>
      <w:tr w:rsidR="000E10AB" w:rsidRPr="001161D2" w:rsidTr="006D79B1">
        <w:trPr>
          <w:trHeight w:val="344"/>
        </w:trPr>
        <w:tc>
          <w:tcPr>
            <w:tcW w:w="8233" w:type="dxa"/>
            <w:shd w:val="clear" w:color="auto" w:fill="D9D9D9"/>
          </w:tcPr>
          <w:p w:rsidR="000E10AB" w:rsidRPr="001161D2" w:rsidRDefault="000E10AB" w:rsidP="00AE3359">
            <w:pPr>
              <w:jc w:val="both"/>
              <w:rPr>
                <w:b/>
                <w:sz w:val="22"/>
                <w:szCs w:val="22"/>
              </w:rPr>
            </w:pPr>
            <w:r>
              <w:rPr>
                <w:b/>
                <w:sz w:val="22"/>
              </w:rPr>
              <w:lastRenderedPageBreak/>
              <w:t>Άρθρο 7 — Επιλέξιμες δαπάνες</w:t>
            </w:r>
          </w:p>
        </w:tc>
        <w:tc>
          <w:tcPr>
            <w:tcW w:w="6379" w:type="dxa"/>
            <w:shd w:val="clear" w:color="auto" w:fill="D9D9D9"/>
          </w:tcPr>
          <w:p w:rsidR="000E10AB" w:rsidRPr="001161D2" w:rsidRDefault="000E10AB" w:rsidP="00AE3359">
            <w:pPr>
              <w:rPr>
                <w:sz w:val="22"/>
                <w:szCs w:val="22"/>
              </w:rPr>
            </w:pPr>
          </w:p>
        </w:tc>
      </w:tr>
      <w:tr w:rsidR="000E10AB" w:rsidRPr="001161D2" w:rsidTr="001161D2">
        <w:trPr>
          <w:trHeight w:val="127"/>
        </w:trPr>
        <w:tc>
          <w:tcPr>
            <w:tcW w:w="8233" w:type="dxa"/>
            <w:tcBorders>
              <w:bottom w:val="single" w:sz="4" w:space="0" w:color="auto"/>
            </w:tcBorders>
            <w:shd w:val="clear" w:color="auto" w:fill="auto"/>
          </w:tcPr>
          <w:p w:rsidR="00F40159" w:rsidRPr="001161D2" w:rsidRDefault="00AE3359" w:rsidP="001161D2">
            <w:pPr>
              <w:jc w:val="both"/>
              <w:rPr>
                <w:sz w:val="22"/>
                <w:szCs w:val="22"/>
              </w:rPr>
            </w:pPr>
            <w:r>
              <w:rPr>
                <w:sz w:val="22"/>
              </w:rPr>
              <w:t>Για τον υπολογισμό της έντασης της ενίσχυσης (όταν η ένταση της ενίσχυσης δεν είναι ίση με 100%)</w:t>
            </w:r>
          </w:p>
          <w:p w:rsidR="00F40159" w:rsidRPr="001161D2" w:rsidRDefault="009F2DB2" w:rsidP="00AE3359">
            <w:pPr>
              <w:numPr>
                <w:ilvl w:val="0"/>
                <w:numId w:val="12"/>
              </w:numPr>
              <w:jc w:val="both"/>
              <w:rPr>
                <w:sz w:val="22"/>
                <w:szCs w:val="22"/>
              </w:rPr>
            </w:pPr>
            <w:r>
              <w:rPr>
                <w:sz w:val="22"/>
              </w:rPr>
              <w:t>Αριθμητικά στοιχεία πριν από την αφαίρεση φόρων ή άλλων επιβαρύνσεων·</w:t>
            </w:r>
          </w:p>
          <w:p w:rsidR="00F40159" w:rsidRPr="001161D2" w:rsidRDefault="00F40159" w:rsidP="00AE3359">
            <w:pPr>
              <w:numPr>
                <w:ilvl w:val="0"/>
                <w:numId w:val="12"/>
              </w:numPr>
              <w:jc w:val="both"/>
              <w:rPr>
                <w:sz w:val="22"/>
                <w:szCs w:val="22"/>
              </w:rPr>
            </w:pPr>
            <w:r>
              <w:rPr>
                <w:sz w:val="22"/>
              </w:rP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827EF8" w:rsidRPr="0008770C" w:rsidRDefault="00827EF8" w:rsidP="00827EF8">
            <w:pPr>
              <w:numPr>
                <w:ilvl w:val="0"/>
                <w:numId w:val="12"/>
              </w:numPr>
              <w:jc w:val="both"/>
            </w:pPr>
            <w: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w:t>
            </w:r>
          </w:p>
          <w:p w:rsidR="00F40159" w:rsidRPr="001161D2" w:rsidRDefault="00F40159" w:rsidP="001161D2">
            <w:pPr>
              <w:numPr>
                <w:ilvl w:val="0"/>
                <w:numId w:val="12"/>
              </w:numPr>
              <w:autoSpaceDE w:val="0"/>
              <w:autoSpaceDN w:val="0"/>
              <w:adjustRightInd w:val="0"/>
              <w:jc w:val="both"/>
              <w:rPr>
                <w:sz w:val="22"/>
                <w:szCs w:val="22"/>
              </w:rPr>
            </w:pPr>
            <w:r>
              <w:rPr>
                <w:sz w:val="22"/>
              </w:rPr>
              <w:t>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F40159" w:rsidRPr="001161D2" w:rsidRDefault="00F40159" w:rsidP="001161D2">
            <w:pPr>
              <w:autoSpaceDE w:val="0"/>
              <w:autoSpaceDN w:val="0"/>
              <w:adjustRightInd w:val="0"/>
              <w:jc w:val="both"/>
              <w:rPr>
                <w:sz w:val="22"/>
                <w:szCs w:val="22"/>
              </w:rPr>
            </w:pPr>
            <w:r>
              <w:rPr>
                <w:sz w:val="22"/>
              </w:rPr>
              <w:t>Επιλέξιμες δαπάνες και τεκμηρίωση</w:t>
            </w:r>
          </w:p>
          <w:p w:rsidR="000E10AB" w:rsidRDefault="00F40159" w:rsidP="00AE3359">
            <w:pPr>
              <w:numPr>
                <w:ilvl w:val="0"/>
                <w:numId w:val="12"/>
              </w:numPr>
              <w:autoSpaceDE w:val="0"/>
              <w:autoSpaceDN w:val="0"/>
              <w:adjustRightInd w:val="0"/>
              <w:jc w:val="both"/>
              <w:rPr>
                <w:sz w:val="22"/>
                <w:szCs w:val="22"/>
              </w:rPr>
            </w:pPr>
            <w:r>
              <w:rPr>
                <w:sz w:val="22"/>
              </w:rPr>
              <w:t xml:space="preserve">Οι επιλέξιμες δαπάνες τεκμηριώνονται με σαφή, συγκεκριμένα και επικαιροποιημένα έγγραφα. </w:t>
            </w:r>
          </w:p>
          <w:p w:rsidR="00827EF8" w:rsidRPr="001161D2" w:rsidRDefault="00827EF8" w:rsidP="00AE3359">
            <w:pPr>
              <w:numPr>
                <w:ilvl w:val="0"/>
                <w:numId w:val="12"/>
              </w:numPr>
              <w:autoSpaceDE w:val="0"/>
              <w:autoSpaceDN w:val="0"/>
              <w:adjustRightInd w:val="0"/>
              <w:jc w:val="both"/>
              <w:rPr>
                <w:sz w:val="22"/>
                <w:szCs w:val="22"/>
              </w:rPr>
            </w:pPr>
            <w:r>
              <w:rPr>
                <w:sz w:val="22"/>
              </w:rPr>
              <w:t xml:space="preserve">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w:t>
            </w:r>
            <w:r>
              <w:rPr>
                <w:sz w:val="22"/>
              </w:rPr>
              <w:lastRenderedPageBreak/>
              <w:t>σχετική διάταξη εξαίρεσης.</w:t>
            </w:r>
          </w:p>
        </w:tc>
        <w:tc>
          <w:tcPr>
            <w:tcW w:w="6379" w:type="dxa"/>
            <w:shd w:val="clear" w:color="auto" w:fill="auto"/>
          </w:tcPr>
          <w:p w:rsidR="000E10AB" w:rsidRPr="001161D2" w:rsidRDefault="000E10AB" w:rsidP="00AE3359">
            <w:pPr>
              <w:rPr>
                <w:sz w:val="22"/>
                <w:szCs w:val="22"/>
              </w:rPr>
            </w:pPr>
          </w:p>
        </w:tc>
      </w:tr>
      <w:tr w:rsidR="000E10AB" w:rsidRPr="001161D2" w:rsidTr="000B0A2E">
        <w:trPr>
          <w:trHeight w:val="271"/>
        </w:trPr>
        <w:tc>
          <w:tcPr>
            <w:tcW w:w="8233" w:type="dxa"/>
            <w:shd w:val="clear" w:color="auto" w:fill="D9D9D9"/>
          </w:tcPr>
          <w:p w:rsidR="000E10AB" w:rsidRPr="001161D2" w:rsidRDefault="000E10AB" w:rsidP="00AE3359">
            <w:pPr>
              <w:jc w:val="both"/>
              <w:rPr>
                <w:b/>
                <w:sz w:val="22"/>
                <w:szCs w:val="22"/>
              </w:rPr>
            </w:pPr>
            <w:r>
              <w:rPr>
                <w:b/>
                <w:sz w:val="22"/>
              </w:rPr>
              <w:lastRenderedPageBreak/>
              <w:t>Άρθρο 8 — Σώρευση</w:t>
            </w:r>
          </w:p>
        </w:tc>
        <w:tc>
          <w:tcPr>
            <w:tcW w:w="6379" w:type="dxa"/>
            <w:shd w:val="clear" w:color="auto" w:fill="D9D9D9"/>
          </w:tcPr>
          <w:p w:rsidR="000E10AB" w:rsidRPr="001161D2" w:rsidRDefault="000E10AB" w:rsidP="006C6F59">
            <w:pPr>
              <w:rPr>
                <w:sz w:val="22"/>
                <w:szCs w:val="22"/>
              </w:rPr>
            </w:pPr>
          </w:p>
        </w:tc>
      </w:tr>
      <w:tr w:rsidR="000E10AB" w:rsidRPr="001161D2" w:rsidTr="00895393">
        <w:trPr>
          <w:trHeight w:val="271"/>
        </w:trPr>
        <w:tc>
          <w:tcPr>
            <w:tcW w:w="8233" w:type="dxa"/>
            <w:tcBorders>
              <w:bottom w:val="single" w:sz="4" w:space="0" w:color="auto"/>
            </w:tcBorders>
            <w:shd w:val="clear" w:color="auto" w:fill="auto"/>
          </w:tcPr>
          <w:p w:rsidR="0071555B" w:rsidRPr="001161D2" w:rsidRDefault="0071555B" w:rsidP="00AE3359">
            <w:pPr>
              <w:numPr>
                <w:ilvl w:val="0"/>
                <w:numId w:val="13"/>
              </w:numPr>
              <w:jc w:val="both"/>
              <w:rPr>
                <w:sz w:val="22"/>
                <w:szCs w:val="22"/>
              </w:rPr>
            </w:pPr>
            <w:r>
              <w:t xml:space="preserve">Για τα όρια και τις μέγιστες εντάσεις ενίσχυσης λαμβάνεται υπόψη </w:t>
            </w:r>
            <w:r>
              <w:rPr>
                <w:b/>
                <w:sz w:val="22"/>
              </w:rPr>
              <w:t>το συνολικό ποσό</w:t>
            </w:r>
            <w:r>
              <w:t xml:space="preserve"> της ενίσχυσης (παράγραφος 1)·</w:t>
            </w:r>
          </w:p>
          <w:p w:rsidR="0071555B" w:rsidRPr="001161D2" w:rsidRDefault="0071555B" w:rsidP="00AE3359">
            <w:pPr>
              <w:numPr>
                <w:ilvl w:val="0"/>
                <w:numId w:val="13"/>
              </w:numPr>
              <w:autoSpaceDE w:val="0"/>
              <w:autoSpaceDN w:val="0"/>
              <w:adjustRightInd w:val="0"/>
              <w:jc w:val="both"/>
              <w:rPr>
                <w:sz w:val="22"/>
                <w:szCs w:val="22"/>
              </w:rPr>
            </w:pPr>
            <w:r>
              <w:rPr>
                <w:sz w:val="22"/>
              </w:rPr>
              <w:t xml:space="preserve">εάν </w:t>
            </w:r>
            <w:r>
              <w:rPr>
                <w:b/>
                <w:sz w:val="22"/>
              </w:rPr>
              <w:t>ενωσιακή χρηματοδότηση</w:t>
            </w:r>
            <w:r>
              <w:rPr>
                <w:sz w:val="22"/>
              </w:rP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 (παράγραφος 2)·</w:t>
            </w:r>
          </w:p>
          <w:p w:rsidR="0071555B" w:rsidRPr="001161D2" w:rsidRDefault="0071555B" w:rsidP="00AE3359">
            <w:pPr>
              <w:numPr>
                <w:ilvl w:val="0"/>
                <w:numId w:val="13"/>
              </w:numPr>
              <w:jc w:val="both"/>
              <w:rPr>
                <w:sz w:val="22"/>
                <w:szCs w:val="22"/>
              </w:rPr>
            </w:pPr>
            <w:r>
              <w:rPr>
                <w:sz w:val="22"/>
              </w:rPr>
              <w:t xml:space="preserve">οι απαλλασσόμενες ενισχύσεις μπορούν να σωρευθούν με οποιεσδήποτε άλλες κρατικές ενισχύσεις, εάν πρόκειται για </w:t>
            </w:r>
            <w:r>
              <w:rPr>
                <w:b/>
                <w:sz w:val="22"/>
              </w:rPr>
              <w:t>διαφορετικές προσδιορίσιμες δαπάνες</w:t>
            </w:r>
            <w:r>
              <w:rPr>
                <w:sz w:val="22"/>
              </w:rPr>
              <w:t xml:space="preserve"> (παράγραφος 3 στοιχείο α))·</w:t>
            </w:r>
          </w:p>
          <w:p w:rsidR="0071555B" w:rsidRPr="001161D2" w:rsidRDefault="0071555B" w:rsidP="00AE3359">
            <w:pPr>
              <w:numPr>
                <w:ilvl w:val="0"/>
                <w:numId w:val="13"/>
              </w:numPr>
              <w:jc w:val="both"/>
              <w:rPr>
                <w:sz w:val="22"/>
                <w:szCs w:val="22"/>
              </w:rPr>
            </w:pPr>
            <w:r>
              <w:rPr>
                <w:sz w:val="22"/>
              </w:rPr>
              <w:t xml:space="preserve">δεν επιτρέπεται η σώρευση των απαλλασσόμενων ενισχύσεων με οποιεσδήποτε άλλες ενισχύσεις για τις </w:t>
            </w:r>
            <w:r>
              <w:rPr>
                <w:b/>
                <w:sz w:val="22"/>
              </w:rPr>
              <w:t>ίδιες επιλέξιμες δαπάνες</w:t>
            </w:r>
            <w:r>
              <w:rPr>
                <w:sz w:val="22"/>
              </w:rPr>
              <w:t>,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rsidR="000E10AB" w:rsidRPr="001161D2" w:rsidRDefault="0071555B" w:rsidP="00AE3359">
            <w:pPr>
              <w:numPr>
                <w:ilvl w:val="0"/>
                <w:numId w:val="13"/>
              </w:numPr>
              <w:jc w:val="both"/>
              <w:rPr>
                <w:sz w:val="22"/>
                <w:szCs w:val="22"/>
              </w:rPr>
            </w:pPr>
            <w:r>
              <w:rPr>
                <w:sz w:val="22"/>
              </w:rPr>
              <w:t xml:space="preserve">οι κρατικές ενισχύσεις που τυγχάνουν απαλλαγής δυνάμει του ΓΚΑΚ δεν σωρεύονται με οποιεσδήποτε </w:t>
            </w:r>
            <w:r>
              <w:rPr>
                <w:b/>
                <w:sz w:val="22"/>
              </w:rPr>
              <w:t>ενισχύσεις ήσσονος σημασίας</w:t>
            </w:r>
            <w:r>
              <w:rPr>
                <w:sz w:val="22"/>
              </w:rP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c>
          <w:tcPr>
            <w:tcW w:w="6379" w:type="dxa"/>
            <w:shd w:val="clear" w:color="auto" w:fill="auto"/>
          </w:tcPr>
          <w:p w:rsidR="000E10AB" w:rsidRPr="001161D2" w:rsidRDefault="000E10AB" w:rsidP="006C6F59">
            <w:pPr>
              <w:rPr>
                <w:sz w:val="22"/>
                <w:szCs w:val="22"/>
              </w:rPr>
            </w:pPr>
          </w:p>
        </w:tc>
      </w:tr>
      <w:tr w:rsidR="0007352F" w:rsidRPr="002B692E" w:rsidTr="006D79B1">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07352F" w:rsidRPr="002B692E" w:rsidRDefault="0007352F" w:rsidP="0007352F">
            <w:pPr>
              <w:tabs>
                <w:tab w:val="num" w:pos="360"/>
              </w:tabs>
              <w:ind w:left="360" w:hanging="360"/>
              <w:jc w:val="both"/>
              <w:rPr>
                <w:b/>
                <w:sz w:val="22"/>
                <w:szCs w:val="22"/>
              </w:rPr>
            </w:pPr>
            <w:r>
              <w:rPr>
                <w:b/>
                <w:sz w:val="22"/>
              </w:rPr>
              <w:t xml:space="preserve">Άρθρο 9 — Δημοσίευση και πληροφορίες </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07352F" w:rsidRPr="002B692E" w:rsidRDefault="0007352F" w:rsidP="00FE5850">
            <w:pPr>
              <w:rPr>
                <w:sz w:val="22"/>
                <w:szCs w:val="22"/>
              </w:rPr>
            </w:pPr>
          </w:p>
        </w:tc>
      </w:tr>
      <w:tr w:rsidR="0007352F" w:rsidRPr="002B692E" w:rsidTr="0007352F">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07352F" w:rsidRPr="006D79B1" w:rsidRDefault="0007352F" w:rsidP="0007352F">
            <w:pPr>
              <w:numPr>
                <w:ilvl w:val="0"/>
                <w:numId w:val="22"/>
              </w:numPr>
              <w:autoSpaceDE w:val="0"/>
              <w:autoSpaceDN w:val="0"/>
              <w:adjustRightInd w:val="0"/>
              <w:ind w:left="328" w:hanging="328"/>
              <w:jc w:val="both"/>
              <w:rPr>
                <w:sz w:val="22"/>
                <w:szCs w:val="22"/>
              </w:rPr>
            </w:pPr>
            <w:r>
              <w:rPr>
                <w:sz w:val="22"/>
              </w:rPr>
              <w:t>Δημοσιεύονται σε εμπεριστατωμένο δικτυακό τόπο για τις κρατικές ενισχύσεις, σε εθνικό ή περιφερειακό επίπεδο, τα εξής (παράγραφος 1):</w:t>
            </w:r>
          </w:p>
          <w:p w:rsidR="0007352F" w:rsidRPr="006D79B1" w:rsidRDefault="0007352F" w:rsidP="00FC2121">
            <w:pPr>
              <w:numPr>
                <w:ilvl w:val="0"/>
                <w:numId w:val="32"/>
              </w:numPr>
              <w:autoSpaceDE w:val="0"/>
              <w:autoSpaceDN w:val="0"/>
              <w:adjustRightInd w:val="0"/>
              <w:jc w:val="both"/>
              <w:rPr>
                <w:sz w:val="22"/>
                <w:szCs w:val="22"/>
              </w:rPr>
            </w:pPr>
            <w:r>
              <w:rPr>
                <w:sz w:val="22"/>
              </w:rPr>
              <w:t>οι συνοπτικές πληροφορίες (βλ. άρθρο 11) ή σύνδεσμος που παρέχει πρόσβαση σε αυτές·</w:t>
            </w:r>
          </w:p>
          <w:p w:rsidR="0007352F" w:rsidRPr="006D79B1" w:rsidRDefault="0007352F" w:rsidP="00FC2121">
            <w:pPr>
              <w:numPr>
                <w:ilvl w:val="0"/>
                <w:numId w:val="32"/>
              </w:numPr>
              <w:autoSpaceDE w:val="0"/>
              <w:autoSpaceDN w:val="0"/>
              <w:adjustRightInd w:val="0"/>
              <w:jc w:val="both"/>
              <w:rPr>
                <w:sz w:val="22"/>
                <w:szCs w:val="22"/>
              </w:rPr>
            </w:pPr>
            <w:r>
              <w:rPr>
                <w:sz w:val="22"/>
              </w:rPr>
              <w:t>το πλήρες κείμενο κάθε μέτρου ενίσχυσης (βλ. άρθρο 11) ή σύνδεσμος που παρέχει πρόσβαση στο πλήρες κείμενο·</w:t>
            </w:r>
          </w:p>
          <w:p w:rsidR="0007352F" w:rsidRPr="006D79B1" w:rsidRDefault="0007352F" w:rsidP="00FC2121">
            <w:pPr>
              <w:numPr>
                <w:ilvl w:val="0"/>
                <w:numId w:val="32"/>
              </w:numPr>
              <w:autoSpaceDE w:val="0"/>
              <w:autoSpaceDN w:val="0"/>
              <w:adjustRightInd w:val="0"/>
              <w:jc w:val="both"/>
              <w:rPr>
                <w:sz w:val="22"/>
                <w:szCs w:val="22"/>
              </w:rPr>
            </w:pPr>
            <w:r>
              <w:rPr>
                <w:sz w:val="22"/>
              </w:rPr>
              <w:t>οι πληροφορίες για κάθε χορήγηση μεμονωμένης ενίσχυσης που υπερβαίνει τα 500 000 EUR (βλ. παράρτημα III).</w:t>
            </w:r>
          </w:p>
          <w:p w:rsidR="0007352F" w:rsidRPr="006D79B1" w:rsidRDefault="0007352F" w:rsidP="0007352F">
            <w:pPr>
              <w:tabs>
                <w:tab w:val="num" w:pos="360"/>
              </w:tabs>
              <w:ind w:left="360" w:hanging="360"/>
              <w:jc w:val="both"/>
              <w:rPr>
                <w:sz w:val="22"/>
                <w:szCs w:val="22"/>
              </w:rPr>
            </w:pPr>
            <w:r>
              <w:rPr>
                <w:sz w:val="22"/>
              </w:rPr>
              <w:t xml:space="preserve">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w:t>
            </w:r>
            <w:r>
              <w:rPr>
                <w:sz w:val="22"/>
              </w:rPr>
              <w:lastRenderedPageBreak/>
              <w:t>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07352F" w:rsidRPr="006D79B1" w:rsidRDefault="0007352F" w:rsidP="0007352F">
            <w:pPr>
              <w:numPr>
                <w:ilvl w:val="0"/>
                <w:numId w:val="22"/>
              </w:numPr>
              <w:autoSpaceDE w:val="0"/>
              <w:autoSpaceDN w:val="0"/>
              <w:adjustRightInd w:val="0"/>
              <w:ind w:left="328" w:hanging="283"/>
              <w:jc w:val="both"/>
              <w:rPr>
                <w:sz w:val="22"/>
                <w:szCs w:val="22"/>
              </w:rPr>
            </w:pPr>
            <w:r>
              <w:rPr>
                <w:sz w:val="22"/>
              </w:rP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07352F" w:rsidRPr="006D79B1" w:rsidRDefault="0007352F" w:rsidP="0007352F">
            <w:pPr>
              <w:numPr>
                <w:ilvl w:val="0"/>
                <w:numId w:val="24"/>
              </w:numPr>
              <w:autoSpaceDE w:val="0"/>
              <w:autoSpaceDN w:val="0"/>
              <w:adjustRightInd w:val="0"/>
              <w:jc w:val="both"/>
              <w:rPr>
                <w:sz w:val="22"/>
                <w:szCs w:val="22"/>
              </w:rPr>
            </w:pPr>
            <w:r>
              <w:rPr>
                <w:sz w:val="22"/>
              </w:rPr>
              <w:t>0,5 -1</w:t>
            </w:r>
          </w:p>
          <w:p w:rsidR="0007352F" w:rsidRPr="006D79B1" w:rsidRDefault="0007352F" w:rsidP="0007352F">
            <w:pPr>
              <w:numPr>
                <w:ilvl w:val="0"/>
                <w:numId w:val="24"/>
              </w:numPr>
              <w:autoSpaceDE w:val="0"/>
              <w:autoSpaceDN w:val="0"/>
              <w:adjustRightInd w:val="0"/>
              <w:jc w:val="both"/>
              <w:rPr>
                <w:sz w:val="22"/>
                <w:szCs w:val="22"/>
              </w:rPr>
            </w:pPr>
            <w:r>
              <w:rPr>
                <w:sz w:val="22"/>
              </w:rPr>
              <w:t>1 -2</w:t>
            </w:r>
          </w:p>
          <w:p w:rsidR="0007352F" w:rsidRPr="006D79B1" w:rsidRDefault="0007352F" w:rsidP="0007352F">
            <w:pPr>
              <w:numPr>
                <w:ilvl w:val="0"/>
                <w:numId w:val="24"/>
              </w:numPr>
              <w:autoSpaceDE w:val="0"/>
              <w:autoSpaceDN w:val="0"/>
              <w:adjustRightInd w:val="0"/>
              <w:jc w:val="both"/>
              <w:rPr>
                <w:sz w:val="22"/>
                <w:szCs w:val="22"/>
              </w:rPr>
            </w:pPr>
            <w:r>
              <w:rPr>
                <w:sz w:val="22"/>
              </w:rPr>
              <w:t>2 -5</w:t>
            </w:r>
          </w:p>
          <w:p w:rsidR="0007352F" w:rsidRPr="006D79B1" w:rsidRDefault="0007352F" w:rsidP="0007352F">
            <w:pPr>
              <w:numPr>
                <w:ilvl w:val="0"/>
                <w:numId w:val="24"/>
              </w:numPr>
              <w:autoSpaceDE w:val="0"/>
              <w:autoSpaceDN w:val="0"/>
              <w:adjustRightInd w:val="0"/>
              <w:jc w:val="both"/>
              <w:rPr>
                <w:sz w:val="22"/>
                <w:szCs w:val="22"/>
              </w:rPr>
            </w:pPr>
            <w:r>
              <w:rPr>
                <w:sz w:val="22"/>
              </w:rPr>
              <w:t>5 -10</w:t>
            </w:r>
          </w:p>
          <w:p w:rsidR="0007352F" w:rsidRPr="006D79B1" w:rsidRDefault="0007352F" w:rsidP="0007352F">
            <w:pPr>
              <w:numPr>
                <w:ilvl w:val="0"/>
                <w:numId w:val="24"/>
              </w:numPr>
              <w:autoSpaceDE w:val="0"/>
              <w:autoSpaceDN w:val="0"/>
              <w:adjustRightInd w:val="0"/>
              <w:jc w:val="both"/>
              <w:rPr>
                <w:sz w:val="22"/>
                <w:szCs w:val="22"/>
              </w:rPr>
            </w:pPr>
            <w:r>
              <w:rPr>
                <w:sz w:val="22"/>
              </w:rPr>
              <w:t>10 -30 και</w:t>
            </w:r>
          </w:p>
          <w:p w:rsidR="0007352F" w:rsidRPr="006D79B1" w:rsidRDefault="0007352F" w:rsidP="0007352F">
            <w:pPr>
              <w:numPr>
                <w:ilvl w:val="0"/>
                <w:numId w:val="24"/>
              </w:numPr>
              <w:autoSpaceDE w:val="0"/>
              <w:autoSpaceDN w:val="0"/>
              <w:adjustRightInd w:val="0"/>
              <w:jc w:val="both"/>
              <w:rPr>
                <w:sz w:val="22"/>
                <w:szCs w:val="22"/>
              </w:rPr>
            </w:pPr>
            <w:r>
              <w:rPr>
                <w:sz w:val="22"/>
              </w:rPr>
              <w:t>30 και άνω.</w:t>
            </w:r>
          </w:p>
          <w:p w:rsidR="0007352F" w:rsidRPr="006D79B1" w:rsidRDefault="0007352F" w:rsidP="0007352F">
            <w:pPr>
              <w:numPr>
                <w:ilvl w:val="0"/>
                <w:numId w:val="22"/>
              </w:numPr>
              <w:autoSpaceDE w:val="0"/>
              <w:autoSpaceDN w:val="0"/>
              <w:adjustRightInd w:val="0"/>
              <w:ind w:left="328" w:hanging="283"/>
              <w:jc w:val="both"/>
              <w:rPr>
                <w:sz w:val="22"/>
                <w:szCs w:val="22"/>
              </w:rPr>
            </w:pPr>
            <w:r>
              <w:rPr>
                <w:sz w:val="22"/>
              </w:rPr>
              <w:t>Οι πληροφορίες που αναφέρονται στην παράγραφο 1 στοιχείο γ) οργανώνονται και είναι προσβάσιμες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rsidR="0007352F" w:rsidRPr="0007352F" w:rsidRDefault="0007352F" w:rsidP="0007352F">
            <w:pPr>
              <w:numPr>
                <w:ilvl w:val="0"/>
                <w:numId w:val="22"/>
              </w:numPr>
              <w:autoSpaceDE w:val="0"/>
              <w:autoSpaceDN w:val="0"/>
              <w:adjustRightInd w:val="0"/>
              <w:ind w:left="328" w:hanging="283"/>
              <w:jc w:val="both"/>
              <w:rPr>
                <w:b/>
                <w:sz w:val="22"/>
                <w:szCs w:val="22"/>
              </w:rPr>
            </w:pPr>
            <w:r>
              <w:rPr>
                <w:sz w:val="22"/>
              </w:rP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7352F" w:rsidRPr="002B692E" w:rsidRDefault="0007352F" w:rsidP="00FE5850">
            <w:pPr>
              <w:rPr>
                <w:sz w:val="22"/>
                <w:szCs w:val="22"/>
              </w:rPr>
            </w:pPr>
          </w:p>
        </w:tc>
      </w:tr>
      <w:tr w:rsidR="0014007D" w:rsidTr="00AD72E7">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14007D" w:rsidRPr="00652617" w:rsidRDefault="0014007D" w:rsidP="0014007D">
            <w:pPr>
              <w:tabs>
                <w:tab w:val="num" w:pos="360"/>
              </w:tabs>
              <w:autoSpaceDE w:val="0"/>
              <w:autoSpaceDN w:val="0"/>
              <w:adjustRightInd w:val="0"/>
              <w:ind w:left="328" w:hanging="328"/>
              <w:jc w:val="both"/>
              <w:rPr>
                <w:b/>
                <w:sz w:val="22"/>
                <w:szCs w:val="22"/>
              </w:rPr>
            </w:pPr>
            <w:r>
              <w:rPr>
                <w:b/>
                <w:sz w:val="22"/>
              </w:rPr>
              <w:lastRenderedPageBreak/>
              <w:t>Άρθρο 11 — Υποβολή εκθέσεων (ενημερωτικά δελτία)</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14007D" w:rsidRPr="0014007D" w:rsidRDefault="0014007D">
            <w:pPr>
              <w:rPr>
                <w:sz w:val="22"/>
                <w:szCs w:val="22"/>
              </w:rPr>
            </w:pPr>
          </w:p>
        </w:tc>
      </w:tr>
      <w:tr w:rsidR="0014007D" w:rsidTr="0014007D">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14007D" w:rsidRDefault="0014007D" w:rsidP="0014007D">
            <w:pPr>
              <w:numPr>
                <w:ilvl w:val="0"/>
                <w:numId w:val="25"/>
              </w:numPr>
              <w:autoSpaceDE w:val="0"/>
              <w:autoSpaceDN w:val="0"/>
              <w:adjustRightInd w:val="0"/>
              <w:ind w:left="328" w:hanging="283"/>
              <w:jc w:val="both"/>
              <w:rPr>
                <w:sz w:val="22"/>
                <w:szCs w:val="22"/>
              </w:rPr>
            </w:pPr>
            <w:r>
              <w:rPr>
                <w:sz w:val="22"/>
              </w:rP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14007D" w:rsidRPr="0014007D" w:rsidRDefault="0014007D">
            <w:pPr>
              <w:rPr>
                <w:sz w:val="22"/>
                <w:szCs w:val="22"/>
              </w:rPr>
            </w:pPr>
          </w:p>
        </w:tc>
      </w:tr>
    </w:tbl>
    <w:p w:rsidR="0007352F" w:rsidRDefault="0007352F" w:rsidP="00AE3359">
      <w:pPr>
        <w:rPr>
          <w:b/>
          <w:sz w:val="22"/>
          <w:szCs w:val="22"/>
        </w:rPr>
      </w:pPr>
    </w:p>
    <w:p w:rsidR="00E215B6" w:rsidRPr="001161D2" w:rsidRDefault="007D461F" w:rsidP="00AE3359">
      <w:pPr>
        <w:rPr>
          <w:sz w:val="22"/>
          <w:szCs w:val="22"/>
        </w:rPr>
      </w:pPr>
      <w:r>
        <w:rPr>
          <w:b/>
          <w:sz w:val="22"/>
        </w:rPr>
        <w:t>Για τους ορισμούς των εννοιών</w:t>
      </w:r>
      <w:r>
        <w:t>:</w:t>
      </w:r>
      <w:r>
        <w:rPr>
          <w:sz w:val="22"/>
        </w:rPr>
        <w:t xml:space="preserve"> άρθρο 2 (προσοχή στον νέο ορισμό της προβληματικής επιχείρησης)</w:t>
      </w:r>
    </w:p>
    <w:p w:rsidR="007D461F" w:rsidRPr="001161D2" w:rsidRDefault="007D461F" w:rsidP="006C6F59">
      <w:pPr>
        <w:rPr>
          <w:sz w:val="22"/>
          <w:szCs w:val="22"/>
        </w:rPr>
      </w:pPr>
      <w:r>
        <w:rPr>
          <w:b/>
          <w:sz w:val="22"/>
        </w:rPr>
        <w:t>Παρακολούθηση:</w:t>
      </w:r>
      <w:r>
        <w:rPr>
          <w:sz w:val="22"/>
        </w:rPr>
        <w:t xml:space="preserve"> άρθρο 12</w:t>
      </w:r>
    </w:p>
    <w:p w:rsidR="00933611" w:rsidRPr="001161D2" w:rsidRDefault="00DD57E1" w:rsidP="001161D2">
      <w:pPr>
        <w:rPr>
          <w:sz w:val="22"/>
          <w:szCs w:val="22"/>
        </w:rPr>
      </w:pPr>
      <w:r>
        <w:rPr>
          <w:b/>
          <w:sz w:val="22"/>
        </w:rPr>
        <w:t>Ανάκληση του ευεργετήματος της απαλλαγής κατά κατηγορία</w:t>
      </w:r>
      <w:r>
        <w:t>:</w:t>
      </w:r>
      <w:r>
        <w:rPr>
          <w:sz w:val="22"/>
        </w:rPr>
        <w:t xml:space="preserve"> άρθρο 10</w:t>
      </w:r>
    </w:p>
    <w:p w:rsidR="00933611" w:rsidRPr="001161D2" w:rsidRDefault="00933611" w:rsidP="001161D2">
      <w:pPr>
        <w:rPr>
          <w:sz w:val="22"/>
          <w:szCs w:val="22"/>
        </w:rPr>
      </w:pPr>
    </w:p>
    <w:p w:rsidR="00003D17" w:rsidRPr="001161D2" w:rsidRDefault="00003D17" w:rsidP="001161D2">
      <w:pPr>
        <w:jc w:val="center"/>
        <w:rPr>
          <w:sz w:val="22"/>
          <w:szCs w:val="22"/>
        </w:rPr>
      </w:pPr>
      <w:r>
        <w:rPr>
          <w:b/>
          <w:sz w:val="22"/>
          <w:u w:val="single"/>
        </w:rPr>
        <w:t>Β. Ειδικ</w:t>
      </w:r>
      <w:r w:rsidR="005D42EC">
        <w:rPr>
          <w:b/>
          <w:sz w:val="22"/>
          <w:u w:val="single"/>
        </w:rPr>
        <w:t>ές διατάξεις</w:t>
      </w:r>
      <w:r>
        <w:rPr>
          <w:b/>
          <w:sz w:val="22"/>
          <w:u w:val="single"/>
        </w:rPr>
        <w:t xml:space="preserve"> όσον αφορά τις ενισχύσεις για τον πολιτισμό και τη διατήρηση της κληρονομιάς</w:t>
      </w:r>
    </w:p>
    <w:p w:rsidR="00003D17" w:rsidRPr="001161D2" w:rsidRDefault="00003D17" w:rsidP="001161D2">
      <w:pPr>
        <w:rPr>
          <w:sz w:val="22"/>
          <w:szCs w:val="22"/>
        </w:rPr>
      </w:pPr>
    </w:p>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gridCol w:w="6753"/>
      </w:tblGrid>
      <w:tr w:rsidR="00EC2132" w:rsidRPr="00E93688" w:rsidTr="007A1162">
        <w:trPr>
          <w:trHeight w:val="145"/>
        </w:trPr>
        <w:tc>
          <w:tcPr>
            <w:tcW w:w="2687" w:type="pct"/>
            <w:tcBorders>
              <w:bottom w:val="single" w:sz="4" w:space="0" w:color="auto"/>
            </w:tcBorders>
            <w:shd w:val="clear" w:color="auto" w:fill="B8CCE4"/>
          </w:tcPr>
          <w:p w:rsidR="009C0788" w:rsidRPr="00E93688" w:rsidRDefault="00FC2121" w:rsidP="001161D2">
            <w:pPr>
              <w:ind w:left="360"/>
              <w:jc w:val="center"/>
              <w:rPr>
                <w:b/>
                <w:smallCaps/>
                <w:sz w:val="22"/>
                <w:szCs w:val="22"/>
              </w:rPr>
            </w:pPr>
            <w:proofErr w:type="spellStart"/>
            <w:r>
              <w:rPr>
                <w:b/>
                <w:smallCaps/>
                <w:sz w:val="22"/>
              </w:rPr>
              <w:t>Α</w:t>
            </w:r>
            <w:r w:rsidR="009C0788">
              <w:rPr>
                <w:b/>
                <w:smallCaps/>
                <w:sz w:val="22"/>
              </w:rPr>
              <w:t>ρθρο</w:t>
            </w:r>
            <w:proofErr w:type="spellEnd"/>
            <w:r w:rsidR="009C0788">
              <w:rPr>
                <w:b/>
                <w:smallCaps/>
                <w:sz w:val="22"/>
              </w:rPr>
              <w:t xml:space="preserve"> 53</w:t>
            </w:r>
          </w:p>
          <w:p w:rsidR="00BB080C" w:rsidRPr="00E93688" w:rsidRDefault="0007152F" w:rsidP="001161D2">
            <w:pPr>
              <w:ind w:left="360"/>
              <w:jc w:val="center"/>
              <w:rPr>
                <w:b/>
                <w:smallCaps/>
                <w:sz w:val="22"/>
                <w:szCs w:val="22"/>
              </w:rPr>
            </w:pPr>
            <w:r>
              <w:rPr>
                <w:b/>
                <w:smallCaps/>
                <w:sz w:val="22"/>
              </w:rPr>
              <w:t>Ενισχύσεις για τον πολιτισμό και τη διατήρηση της κληρονομιάς</w:t>
            </w:r>
          </w:p>
        </w:tc>
        <w:tc>
          <w:tcPr>
            <w:tcW w:w="2313" w:type="pct"/>
            <w:shd w:val="clear" w:color="auto" w:fill="B8CCE4"/>
          </w:tcPr>
          <w:p w:rsidR="00BB080C" w:rsidRPr="00E93688" w:rsidRDefault="00FC2121" w:rsidP="001161D2">
            <w:pPr>
              <w:jc w:val="center"/>
              <w:rPr>
                <w:b/>
                <w:smallCaps/>
                <w:sz w:val="22"/>
                <w:szCs w:val="22"/>
              </w:rPr>
            </w:pPr>
            <w:proofErr w:type="spellStart"/>
            <w:r>
              <w:rPr>
                <w:b/>
                <w:smallCaps/>
                <w:sz w:val="22"/>
              </w:rPr>
              <w:t>Ε</w:t>
            </w:r>
            <w:r w:rsidR="00BB080C">
              <w:rPr>
                <w:b/>
                <w:smallCaps/>
                <w:sz w:val="22"/>
              </w:rPr>
              <w:t>λεγχος</w:t>
            </w:r>
            <w:proofErr w:type="spellEnd"/>
            <w:r w:rsidR="00BB080C">
              <w:rPr>
                <w:b/>
                <w:smallCaps/>
                <w:sz w:val="22"/>
              </w:rPr>
              <w:t xml:space="preserve"> συμμόρφωσης (OK;)</w:t>
            </w:r>
          </w:p>
        </w:tc>
      </w:tr>
      <w:tr w:rsidR="00AE3359" w:rsidRPr="001161D2" w:rsidTr="00895393">
        <w:trPr>
          <w:trHeight w:val="850"/>
        </w:trPr>
        <w:tc>
          <w:tcPr>
            <w:tcW w:w="2687" w:type="pct"/>
            <w:shd w:val="clear" w:color="auto" w:fill="auto"/>
          </w:tcPr>
          <w:p w:rsidR="00AE3359" w:rsidRPr="00AE3359" w:rsidRDefault="00AE3359" w:rsidP="001161D2">
            <w:pPr>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(Κεφάλαιο Ι) και οι όροι του παρόντος άρθρου (παράγραφος 1).</w:t>
            </w:r>
          </w:p>
          <w:p w:rsidR="00AE3359" w:rsidRPr="00AE3359" w:rsidRDefault="00AE3359" w:rsidP="009D0320">
            <w:pPr>
              <w:ind w:left="720"/>
              <w:jc w:val="both"/>
              <w:rPr>
                <w:sz w:val="22"/>
                <w:szCs w:val="22"/>
              </w:rPr>
            </w:pP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383"/>
        </w:trPr>
        <w:tc>
          <w:tcPr>
            <w:tcW w:w="2687" w:type="pct"/>
            <w:shd w:val="clear" w:color="auto" w:fill="D9D9D9"/>
          </w:tcPr>
          <w:p w:rsidR="00AE3359" w:rsidRPr="001161D2" w:rsidRDefault="00AE3359" w:rsidP="001161D2">
            <w:pPr>
              <w:jc w:val="both"/>
              <w:rPr>
                <w:b/>
                <w:sz w:val="22"/>
                <w:szCs w:val="22"/>
              </w:rPr>
            </w:pPr>
            <w:r>
              <w:rPr>
                <w:b/>
                <w:sz w:val="22"/>
              </w:rPr>
              <w:t>Σκοπός των ενισχύσεων και είδος των σχετικών δραστηριοτήτων</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jc w:val="both"/>
              <w:rPr>
                <w:sz w:val="22"/>
                <w:szCs w:val="22"/>
              </w:rPr>
            </w:pPr>
            <w:r>
              <w:rPr>
                <w:sz w:val="22"/>
              </w:rPr>
              <w:t xml:space="preserve">Οι ενισχύσεις χορηγούνται για τους </w:t>
            </w:r>
            <w:r>
              <w:rPr>
                <w:b/>
                <w:sz w:val="22"/>
              </w:rPr>
              <w:t>ακόλουθους πολιτιστικούς σκοπούς και δραστηριότητες</w:t>
            </w:r>
            <w:r>
              <w:rPr>
                <w:sz w:val="22"/>
              </w:rPr>
              <w:t xml:space="preserve"> (παράγραφος 2):</w:t>
            </w:r>
          </w:p>
          <w:p w:rsidR="00AE3359" w:rsidRPr="000F52B9" w:rsidRDefault="003A757F" w:rsidP="00FC2121">
            <w:pPr>
              <w:numPr>
                <w:ilvl w:val="0"/>
                <w:numId w:val="33"/>
              </w:numPr>
              <w:jc w:val="both"/>
              <w:rPr>
                <w:sz w:val="22"/>
                <w:szCs w:val="22"/>
              </w:rPr>
            </w:pPr>
            <w:r>
              <w:rPr>
                <w:sz w:val="22"/>
              </w:rPr>
              <w:t>μουσεία, αρχεία, βιβλιοθήκες, καλλιτεχνικά και πολιτιστικά κέντρα ή χώροι, θέατρα, κινηματογράφοι, λυρικές σκηνές, αίθουσες συναυλιών, άλλοι οργανισμοί στον τομέα του ζωντανού θεάματος, ιδρύματα κινηματογραφικής κληρονομιάς και άλλες παρόμοιες καλλιτεχνικές και πολιτιστικές υποδομές, οργανώσεις και ιδρύματα·</w:t>
            </w:r>
          </w:p>
          <w:p w:rsidR="00AE3359" w:rsidRPr="000F52B9" w:rsidRDefault="00AE3359" w:rsidP="00FC2121">
            <w:pPr>
              <w:numPr>
                <w:ilvl w:val="0"/>
                <w:numId w:val="33"/>
              </w:numPr>
              <w:jc w:val="both"/>
              <w:rPr>
                <w:sz w:val="22"/>
                <w:szCs w:val="22"/>
              </w:rPr>
            </w:pPr>
            <w:r>
              <w:rPr>
                <w:sz w:val="22"/>
              </w:rPr>
              <w:t>υλική κληρονομιά, συμπεριλαμβανομένων όλων των μορφών της πολιτιστικής κληρονομιάς, κινητής ή ακίνητης, των αρχαιολογικών χώρων, των μνημείων, των ιστορικών χώρων και κτιρίων· φυσική κληρονομιά που συνδέεται με την πολιτιστική κληρονομιά ή αναγνωρίζεται επισήμως ως πολιτιστική ή φυσική κληρονομιά από τις αρμόδιες δημόσιες αρχές κράτους μέλους·</w:t>
            </w:r>
          </w:p>
          <w:p w:rsidR="00AE3359" w:rsidRPr="000F52B9" w:rsidRDefault="00AE3359" w:rsidP="00FC2121">
            <w:pPr>
              <w:numPr>
                <w:ilvl w:val="0"/>
                <w:numId w:val="33"/>
              </w:numPr>
              <w:jc w:val="both"/>
              <w:rPr>
                <w:sz w:val="22"/>
                <w:szCs w:val="22"/>
              </w:rPr>
            </w:pPr>
            <w:r>
              <w:rPr>
                <w:sz w:val="22"/>
              </w:rPr>
              <w:t>άυλη κληρονομιά οποιασδήποτε μορφής, συμπεριλαμβανομένων των εθίμων και της χειροτεχνίας της λαϊκής παράδοσης·</w:t>
            </w:r>
          </w:p>
          <w:p w:rsidR="00AE3359" w:rsidRPr="000F52B9" w:rsidRDefault="00AE3359" w:rsidP="00FC2121">
            <w:pPr>
              <w:numPr>
                <w:ilvl w:val="0"/>
                <w:numId w:val="33"/>
              </w:numPr>
              <w:jc w:val="both"/>
              <w:rPr>
                <w:sz w:val="22"/>
                <w:szCs w:val="22"/>
              </w:rPr>
            </w:pPr>
            <w:r>
              <w:rPr>
                <w:sz w:val="22"/>
              </w:rPr>
              <w:t>καλλιτεχνικές ή πολιτιστικές εκδηλώσεις και παραστάσεις, φεστιβάλ, εκθέσεις και άλλες παρόμοιες πολιτιστικές δραστηριότητες·</w:t>
            </w:r>
          </w:p>
          <w:p w:rsidR="00AE3359" w:rsidRPr="000F52B9" w:rsidRDefault="00AE3359" w:rsidP="00FC2121">
            <w:pPr>
              <w:numPr>
                <w:ilvl w:val="0"/>
                <w:numId w:val="33"/>
              </w:numPr>
              <w:jc w:val="both"/>
              <w:rPr>
                <w:sz w:val="22"/>
                <w:szCs w:val="22"/>
              </w:rPr>
            </w:pPr>
            <w:r>
              <w:rPr>
                <w:sz w:val="22"/>
              </w:rPr>
              <w:t>πολιτιστικές και καλλιτεχνικές εκπαιδευτικές δραστηριότητες, καθώς και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AE3359" w:rsidRPr="006C6F59" w:rsidRDefault="00AE3359" w:rsidP="00FC2121">
            <w:pPr>
              <w:numPr>
                <w:ilvl w:val="0"/>
                <w:numId w:val="33"/>
              </w:numPr>
              <w:jc w:val="both"/>
              <w:rPr>
                <w:sz w:val="22"/>
                <w:szCs w:val="22"/>
              </w:rPr>
            </w:pPr>
            <w:r>
              <w:rPr>
                <w:sz w:val="22"/>
              </w:rPr>
              <w:t>σύνταξη ή σύνθεση, επεξεργασία, παραγωγή, διανομή, ψηφιοποίηση και έκδοση μουσικών και λογοτεχνικών έργων, συμπεριλαμβανομένων των μεταφράσεων.</w:t>
            </w: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142"/>
        </w:trPr>
        <w:tc>
          <w:tcPr>
            <w:tcW w:w="2687" w:type="pct"/>
            <w:shd w:val="clear" w:color="auto" w:fill="D9D9D9"/>
          </w:tcPr>
          <w:p w:rsidR="00AE3359" w:rsidRPr="001161D2" w:rsidRDefault="00AE3359" w:rsidP="001161D2">
            <w:pPr>
              <w:jc w:val="both"/>
              <w:rPr>
                <w:b/>
                <w:sz w:val="22"/>
                <w:szCs w:val="22"/>
              </w:rPr>
            </w:pPr>
            <w:r>
              <w:rPr>
                <w:b/>
                <w:sz w:val="22"/>
              </w:rPr>
              <w:t>Μορφή της ενίσχυσης</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rPr>
                <w:sz w:val="22"/>
                <w:szCs w:val="22"/>
              </w:rPr>
            </w:pPr>
            <w:r>
              <w:rPr>
                <w:sz w:val="22"/>
              </w:rPr>
              <w:lastRenderedPageBreak/>
              <w:t xml:space="preserve">Οι ενισχύσεις μπορούν να λάβουν τη </w:t>
            </w:r>
            <w:r>
              <w:rPr>
                <w:b/>
                <w:sz w:val="22"/>
              </w:rPr>
              <w:t>μορφή</w:t>
            </w:r>
            <w:r>
              <w:rPr>
                <w:sz w:val="22"/>
              </w:rPr>
              <w:t xml:space="preserve"> (παράγραφος 3):</w:t>
            </w:r>
          </w:p>
          <w:p w:rsidR="00AE3359" w:rsidRPr="000F52B9" w:rsidRDefault="00AE3359" w:rsidP="00FC2121">
            <w:pPr>
              <w:numPr>
                <w:ilvl w:val="0"/>
                <w:numId w:val="34"/>
              </w:numPr>
              <w:rPr>
                <w:sz w:val="22"/>
                <w:szCs w:val="22"/>
              </w:rPr>
            </w:pPr>
            <w:r>
              <w:rPr>
                <w:sz w:val="22"/>
              </w:rPr>
              <w:t>επενδυτικών ενισχύσεων, συμπεριλαμβανομένων των ενισχύσεων για την κατασκευή ή την αναβάθμιση της πολιτιστικής υποδομής·</w:t>
            </w:r>
          </w:p>
          <w:p w:rsidR="00AE3359" w:rsidRPr="006C6F59" w:rsidRDefault="00AE3359" w:rsidP="00FC2121">
            <w:pPr>
              <w:numPr>
                <w:ilvl w:val="0"/>
                <w:numId w:val="34"/>
              </w:numPr>
              <w:rPr>
                <w:sz w:val="22"/>
                <w:szCs w:val="22"/>
              </w:rPr>
            </w:pPr>
            <w:r>
              <w:rPr>
                <w:sz w:val="22"/>
              </w:rPr>
              <w:t>ενισχύσεων λειτουργίας.</w:t>
            </w: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372"/>
        </w:trPr>
        <w:tc>
          <w:tcPr>
            <w:tcW w:w="2687" w:type="pct"/>
            <w:shd w:val="clear" w:color="auto" w:fill="D9D9D9"/>
          </w:tcPr>
          <w:p w:rsidR="00AE3359" w:rsidRPr="001161D2" w:rsidRDefault="00AE3359" w:rsidP="001161D2">
            <w:pPr>
              <w:jc w:val="both"/>
              <w:rPr>
                <w:b/>
                <w:sz w:val="22"/>
                <w:szCs w:val="22"/>
              </w:rPr>
            </w:pPr>
            <w:r>
              <w:rPr>
                <w:b/>
                <w:sz w:val="22"/>
              </w:rPr>
              <w:t>Επιλέξιμες δαπάνες</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rPr>
                <w:sz w:val="22"/>
                <w:szCs w:val="22"/>
              </w:rPr>
            </w:pPr>
            <w:r>
              <w:rPr>
                <w:b/>
                <w:sz w:val="22"/>
              </w:rPr>
              <w:t>Για τις επενδυτικές ενισχύσεις, οι επιλέξιμες δαπάνες</w:t>
            </w:r>
            <w:r>
              <w:t xml:space="preserve"> συνίστανται στο επενδυτικό κόστος σε ενσώματα και άυλα στοιχεία ενεργητικού, μεταξύ των οποίων περιλαμβάνονται (παράγραφος 4):</w:t>
            </w:r>
          </w:p>
          <w:p w:rsidR="00AE3359" w:rsidRPr="000F52B9" w:rsidRDefault="00AE3359" w:rsidP="00FC2121">
            <w:pPr>
              <w:numPr>
                <w:ilvl w:val="0"/>
                <w:numId w:val="35"/>
              </w:numPr>
              <w:jc w:val="both"/>
              <w:rPr>
                <w:sz w:val="22"/>
                <w:szCs w:val="22"/>
              </w:rPr>
            </w:pPr>
            <w:r>
              <w:rPr>
                <w:sz w:val="22"/>
              </w:rPr>
              <w:t>οι δαπάνες για την κατασκευή, την αναβάθμιση, την απόκτηση, τη συντήρηση ή τη βελτίωση των υποδομών, εφόσον χρησιμοποιούνται κατά το 80 % τουλάχιστον της δυναμικότητάς τους ετησίως, τόσο σε χρόνο όσο και σε χώρο, για πολιτιστικούς σκοπούς·</w:t>
            </w:r>
          </w:p>
          <w:p w:rsidR="00AE3359" w:rsidRPr="000F52B9" w:rsidRDefault="00AE3359" w:rsidP="00FC2121">
            <w:pPr>
              <w:numPr>
                <w:ilvl w:val="0"/>
                <w:numId w:val="35"/>
              </w:numPr>
              <w:jc w:val="both"/>
              <w:rPr>
                <w:sz w:val="22"/>
                <w:szCs w:val="22"/>
              </w:rPr>
            </w:pPr>
            <w:r>
              <w:rPr>
                <w:sz w:val="22"/>
              </w:rPr>
              <w:t>οι δαπάνες απόκτησης, συμπεριλαμβανομένης της χρηματοδοτικής μίσθωσης, μεταβίβασης ιδιοκτησίας ή υλικής μετεγκατάστασης της πολιτιστικής κληρονομιάς·</w:t>
            </w:r>
          </w:p>
          <w:p w:rsidR="00AE3359" w:rsidRPr="000F52B9" w:rsidRDefault="00AE3359" w:rsidP="00FC2121">
            <w:pPr>
              <w:numPr>
                <w:ilvl w:val="0"/>
                <w:numId w:val="35"/>
              </w:numPr>
              <w:jc w:val="both"/>
              <w:rPr>
                <w:sz w:val="22"/>
                <w:szCs w:val="22"/>
              </w:rPr>
            </w:pPr>
            <w:r>
              <w:rPr>
                <w:sz w:val="22"/>
              </w:rPr>
              <w:t>οι δαπάνες για την προστασία, τη διατήρηση, την αποκατάσταση και την ανάπλαση της υλικής και άυλης πολιτιστικής κληρονομιάς, συμπεριλαμβανομένου του επιπλέον κόστους αποθήκευσης υπό κατάλληλες συνθήκες, ειδικών εργαλείων και υλικών, καθώς και οι δαπάνες για τεκμηρίωση, έρευνα, ψηφιοποίηση και δημοσίευση·</w:t>
            </w:r>
          </w:p>
          <w:p w:rsidR="00AE3359" w:rsidRPr="000F52B9" w:rsidRDefault="00AE3359" w:rsidP="00FC2121">
            <w:pPr>
              <w:numPr>
                <w:ilvl w:val="0"/>
                <w:numId w:val="35"/>
              </w:numPr>
              <w:jc w:val="both"/>
              <w:rPr>
                <w:sz w:val="22"/>
                <w:szCs w:val="22"/>
              </w:rPr>
            </w:pPr>
            <w:r>
              <w:rPr>
                <w:sz w:val="22"/>
              </w:rPr>
              <w:t>οι δαπάνες για τη βελτίωση της δυνατότητας πρόσβασης του κοινού στην πολιτιστική κληρονομιά, συμπεριλαμβανομένων των δαπανών για ψηφιοποίηση και άλλες νέες τεχνολογίες, οι δαπάνες για τη βελτίωση της προσπελασιμότητας για τα άτομα με ειδικές ανάγκες (ιδίως, ράμπες και ανελκυστήρες για τα άτομα με αναπηρία, ενδείξεις σε γραφή Braille και διαδραστικές εκθέσεις σε μουσεία), και για την προαγωγή της πολιτιστικής πολυμορφίας όσον αφορά τις παραστάσεις, τα προγράμματα και τους επισκέπτες·</w:t>
            </w:r>
          </w:p>
          <w:p w:rsidR="00AE3359" w:rsidRPr="000F52B9" w:rsidRDefault="00AE3359" w:rsidP="00FC2121">
            <w:pPr>
              <w:numPr>
                <w:ilvl w:val="0"/>
                <w:numId w:val="35"/>
              </w:numPr>
              <w:jc w:val="both"/>
              <w:rPr>
                <w:sz w:val="22"/>
                <w:szCs w:val="22"/>
              </w:rPr>
            </w:pPr>
            <w:r>
              <w:rPr>
                <w:sz w:val="22"/>
              </w:rPr>
              <w:t>δαπανών για πολιτιστικά προγράμματα και δραστηριότητες, συνεργασία και προγράμματα ανταλλαγών και επιχορηγήσεις συμπεριλαμβανομένου των δαπανών των διαδικασιών επιλογής, των δαπανών για την προώθηση και των δαπανών που προκύπτουν άμεσα από το σχέδιο.</w:t>
            </w:r>
          </w:p>
          <w:p w:rsidR="00AE3359" w:rsidRPr="000F52B9" w:rsidRDefault="00AE3359" w:rsidP="00AE3359">
            <w:pPr>
              <w:numPr>
                <w:ilvl w:val="0"/>
                <w:numId w:val="8"/>
              </w:numPr>
              <w:rPr>
                <w:sz w:val="22"/>
                <w:szCs w:val="22"/>
              </w:rPr>
            </w:pPr>
            <w:r>
              <w:rPr>
                <w:b/>
                <w:sz w:val="22"/>
              </w:rPr>
              <w:t>Για τις ενισχύσεις λειτουργίας, επιλέξιμες</w:t>
            </w:r>
            <w:r>
              <w:t xml:space="preserve"> είναι οι ακόλουθες δαπάνες (παράγραφος 5):</w:t>
            </w:r>
          </w:p>
          <w:p w:rsidR="00AE3359" w:rsidRPr="000F52B9" w:rsidRDefault="00AE3359" w:rsidP="00FC2121">
            <w:pPr>
              <w:numPr>
                <w:ilvl w:val="0"/>
                <w:numId w:val="36"/>
              </w:numPr>
              <w:jc w:val="both"/>
              <w:rPr>
                <w:sz w:val="22"/>
                <w:szCs w:val="22"/>
              </w:rPr>
            </w:pPr>
            <w:r>
              <w:rPr>
                <w:sz w:val="22"/>
              </w:rPr>
              <w:t xml:space="preserve">οι δαπάνες των πολιτιστικών ιδρυμάτων ή του χώρου πολιτιστικής κληρονομιάς που συνδέονται με διαρκείς ή περιοδικές δραστηριότητες, στις </w:t>
            </w:r>
            <w:r>
              <w:rPr>
                <w:sz w:val="22"/>
              </w:rPr>
              <w:lastRenderedPageBreak/>
              <w:t>οποίες περιλαμβάνονται εκθέσεις, παραστάσεις και εκδηλώσεις, καθώς και συναφείς πολιτιστικές δραστηριότητες που εντάσσονται στη συνήθη πορεία των εργασιών·</w:t>
            </w:r>
          </w:p>
          <w:p w:rsidR="00AE3359" w:rsidRPr="000F52B9" w:rsidRDefault="00AE3359" w:rsidP="00FC2121">
            <w:pPr>
              <w:numPr>
                <w:ilvl w:val="0"/>
                <w:numId w:val="36"/>
              </w:numPr>
              <w:jc w:val="both"/>
              <w:rPr>
                <w:sz w:val="22"/>
                <w:szCs w:val="22"/>
              </w:rPr>
            </w:pPr>
            <w:r>
              <w:rPr>
                <w:sz w:val="22"/>
              </w:rPr>
              <w:t>οι δαπάνες για πολιτιστικές και καλλιτεχνικές εκπαιδευτικές δραστηριότητες, καθώς και για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AE3359" w:rsidRPr="000F52B9" w:rsidRDefault="00AE3359" w:rsidP="00FC2121">
            <w:pPr>
              <w:numPr>
                <w:ilvl w:val="0"/>
                <w:numId w:val="36"/>
              </w:numPr>
              <w:jc w:val="both"/>
              <w:rPr>
                <w:sz w:val="22"/>
                <w:szCs w:val="22"/>
              </w:rPr>
            </w:pPr>
            <w:r>
              <w:rPr>
                <w:sz w:val="22"/>
              </w:rPr>
              <w:t>οι δαπάνες για τη βελτίωση της πρόσβασης του κοινού στα πολιτιστικά ιδρύματα ή τους χώρους πολιτιστικής κληρονομιάς και στις δραστηριότητες, συμπεριλαμβανομένου του κόστους της ψηφιοποίησης και της χρήσης νέων τεχνολογιών, καθώς και οι δαπάνες για τη βελτίωση της προσπελασιμότητας για τα άτομα με αναπηρία·</w:t>
            </w:r>
          </w:p>
          <w:p w:rsidR="00AE3359" w:rsidRPr="000F52B9" w:rsidRDefault="00AE3359" w:rsidP="00FC2121">
            <w:pPr>
              <w:numPr>
                <w:ilvl w:val="0"/>
                <w:numId w:val="36"/>
              </w:numPr>
              <w:jc w:val="both"/>
              <w:rPr>
                <w:sz w:val="22"/>
                <w:szCs w:val="22"/>
              </w:rPr>
            </w:pPr>
            <w:r>
              <w:rPr>
                <w:sz w:val="22"/>
              </w:rPr>
              <w:t>οι δαπάνες λειτουργίας που συνδέονται άμεσα με το πολιτιστικό έργο ή δραστηριότητα, όπως η απλή ή χρηματοδοτική μίσθωση ακινήτων και χώρων πολιτιστικών εκδηλώσεων, τα έξοδα ταξιδίου, υλικά και προμήθειες που σχετίζονται άμεσα με το πολιτιστικό έργο ή τη δραστηριότητα, αρχιτεκτονικές δομές για εκθέσεις και θεατρικές σκηνές, δανεισμός, μίσθωση και απόσβεση εργαλείων, λογισμικού και εξοπλισμού, οι δαπάνες για τα δικαιώματα πρόσβασης σε έργα καλυπτόμενα από δικαιώματα πνευματικής ιδιοκτησίας και άλλα περιεχόμενα προστατευόμενα από δικαιώματα διανοητικής ιδιοκτησίας, οι δαπάνες προώθησης και οι δαπάνες που προκύπτουν άμεσα από το έργο ή τη δραστηριότητα· αποσβέσεις και έξοδα χρηματοδότησης είναι επιλέξιμα μόνον εάν δεν έχουν καλυφθεί από επενδυτική ενίσχυση·</w:t>
            </w:r>
          </w:p>
          <w:p w:rsidR="00AE3359" w:rsidRPr="000F52B9" w:rsidRDefault="00AE3359" w:rsidP="00FC2121">
            <w:pPr>
              <w:numPr>
                <w:ilvl w:val="0"/>
                <w:numId w:val="36"/>
              </w:numPr>
              <w:jc w:val="both"/>
              <w:rPr>
                <w:sz w:val="22"/>
                <w:szCs w:val="22"/>
              </w:rPr>
            </w:pPr>
            <w:r>
              <w:rPr>
                <w:sz w:val="22"/>
              </w:rPr>
              <w:t>οι δαπάνες για το προσωπικό που απασχολείται στο πολιτιστικό ίδρυμα, τον χώρο πολιτιστικής κληρονομιάς ή το έργο·</w:t>
            </w:r>
          </w:p>
          <w:p w:rsidR="00AE3359" w:rsidRPr="006C6F59" w:rsidRDefault="00AE3359" w:rsidP="00FC2121">
            <w:pPr>
              <w:numPr>
                <w:ilvl w:val="0"/>
                <w:numId w:val="36"/>
              </w:numPr>
              <w:jc w:val="both"/>
              <w:rPr>
                <w:sz w:val="22"/>
                <w:szCs w:val="22"/>
              </w:rPr>
            </w:pPr>
            <w:r>
              <w:rPr>
                <w:sz w:val="22"/>
              </w:rPr>
              <w:t>οι δαπάνες για συμβουλευτικές και υποστηρικτικές υπηρεσίες που παρέχονται από εξωτερικούς συμβούλους και παρόχους υπηρεσιών, οι οποίες προκύπτουν άμεσα από το έργο.</w:t>
            </w: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117"/>
        </w:trPr>
        <w:tc>
          <w:tcPr>
            <w:tcW w:w="2687" w:type="pct"/>
            <w:shd w:val="clear" w:color="auto" w:fill="D9D9D9"/>
          </w:tcPr>
          <w:p w:rsidR="00AE3359" w:rsidRPr="001161D2" w:rsidRDefault="00AE3359" w:rsidP="001161D2">
            <w:pPr>
              <w:jc w:val="both"/>
              <w:rPr>
                <w:b/>
                <w:sz w:val="22"/>
                <w:szCs w:val="22"/>
              </w:rPr>
            </w:pPr>
            <w:r>
              <w:rPr>
                <w:b/>
                <w:sz w:val="22"/>
              </w:rPr>
              <w:lastRenderedPageBreak/>
              <w:t>Ανώτατα όρια ενισχύσεων</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jc w:val="both"/>
              <w:rPr>
                <w:sz w:val="22"/>
                <w:szCs w:val="22"/>
              </w:rPr>
            </w:pPr>
            <w:r>
              <w:rPr>
                <w:b/>
                <w:sz w:val="22"/>
              </w:rPr>
              <w:t>Για τις επενδυτικές ενισχύσεις, το ποσό της ενίσχυσης δεν υπερβαίνει</w:t>
            </w:r>
            <w:r>
              <w:t xml:space="preserve"> τη διαφορά μεταξύ των επιλέξιμων δαπανών και του κέρδους εκμετάλλευσης της επένδυσης.</w:t>
            </w:r>
            <w:r>
              <w:rPr>
                <w:sz w:val="22"/>
              </w:rPr>
              <w:t xml:space="preserve"> Το κέρδος εκμετάλλευσης αφαιρείται από τις επιλέξιμες δαπάνες εκ των προτέρων, βάσει εύλογων προβλέψεων, ή μέσω μηχανισμού ανάκτησης. Ο φορέας εκμετάλλευσης της υποδομής επιτρέπεται να διατηρεί ένα εύλογο κέρδος </w:t>
            </w:r>
            <w:r>
              <w:rPr>
                <w:sz w:val="22"/>
              </w:rPr>
              <w:lastRenderedPageBreak/>
              <w:t>κατά τη διάρκεια της αντίστοιχης περιόδου (παράγραφος 6).</w:t>
            </w:r>
          </w:p>
          <w:p w:rsidR="00AE3359" w:rsidRPr="000F52B9" w:rsidRDefault="00AE3359" w:rsidP="00AE3359">
            <w:pPr>
              <w:numPr>
                <w:ilvl w:val="0"/>
                <w:numId w:val="8"/>
              </w:numPr>
              <w:jc w:val="both"/>
              <w:rPr>
                <w:sz w:val="22"/>
                <w:szCs w:val="22"/>
              </w:rPr>
            </w:pPr>
            <w:r>
              <w:rPr>
                <w:b/>
                <w:sz w:val="22"/>
              </w:rPr>
              <w:t>Για τις ενισχύσεις λειτουργίας, το ποσό της ενίσχυσης δεν υπερβαίνει</w:t>
            </w:r>
            <w:r>
              <w:t xml:space="preserve"> το ποσό που είναι απαραίτητο για την κάλυψη των ζημιών εκμετάλλευσης και ένα εύλογο κέρδος κατά τη σχετική περίοδο.</w:t>
            </w:r>
            <w:r>
              <w:rPr>
                <w:sz w:val="22"/>
              </w:rPr>
              <w:t xml:space="preserve"> Αυτό εξασφαλίζεται εκ των προτέρων, βάσει εύλογων προβλέψεων, ή μέσω μηχανισμού ανάκτησης (παράγραφος 7)·</w:t>
            </w:r>
          </w:p>
          <w:p w:rsidR="00AE3359" w:rsidRPr="000F52B9" w:rsidRDefault="003A757F" w:rsidP="00AE3359">
            <w:pPr>
              <w:numPr>
                <w:ilvl w:val="0"/>
                <w:numId w:val="8"/>
              </w:numPr>
              <w:jc w:val="both"/>
              <w:rPr>
                <w:sz w:val="22"/>
                <w:szCs w:val="22"/>
              </w:rPr>
            </w:pPr>
            <w:r>
              <w:rPr>
                <w:b/>
                <w:sz w:val="22"/>
              </w:rPr>
              <w:t>Για τις ενισχύσεις που δεν υπερβαίνουν τα 2 εκατ. EUR</w:t>
            </w:r>
            <w:r>
              <w:t>, το μέγιστο ποσό της ενίσχυσης μπορεί να καθοριστεί, αντί με τη μέθοδο που αναφέρεται στις παραγράφους 6 και 7, στο 80% των επιλέξιμων δαπανών (παράγραφος 8)·</w:t>
            </w:r>
          </w:p>
          <w:p w:rsidR="00AE3359" w:rsidRPr="000F52B9" w:rsidRDefault="00C26463" w:rsidP="00AE3359">
            <w:pPr>
              <w:numPr>
                <w:ilvl w:val="0"/>
                <w:numId w:val="8"/>
              </w:numPr>
              <w:jc w:val="both"/>
              <w:rPr>
                <w:sz w:val="22"/>
                <w:szCs w:val="22"/>
              </w:rPr>
            </w:pPr>
            <w:r>
              <w:rPr>
                <w:sz w:val="22"/>
              </w:rPr>
              <w:t xml:space="preserve">Για τις </w:t>
            </w:r>
            <w:r>
              <w:rPr>
                <w:b/>
                <w:sz w:val="22"/>
              </w:rPr>
              <w:t>δραστηριότητες που ορίζονται στην παράγραφο 2 στοιχείο στ)</w:t>
            </w:r>
            <w:r>
              <w:rPr>
                <w:sz w:val="22"/>
              </w:rPr>
              <w:t>, το μέγιστο ποσό της ενίσχυσης δεν υπερβαίνει είτε τη διαφορά μεταξύ των επιλέξιμων δαπανών και των προεξοφλημένων εσόδων του έργου είτε το 70 % των επιλέξιμων δαπανών. Τα έσοδα αφαιρούνται από τις επιλέξιμες δαπάνες εκ των προτέρων ή με μηχανισμό ανάκτησης. Επιλέξιμες είναι οι δαπάνες για την έκδοση μουσικών και λογοτεχνικών έργων, συμπεριλαμβανομένων των αμοιβών των δημιουργών (έξοδα πνευματικών δικαιωμάτων), των αμοιβών των μεταφραστών, των λοιπών εκδοτικών δαπανών (αναθεώρηση, διόρθωση, επιμέλεια), των εξόδων σχεδιασμού και προεκτύπωσης και των εξόδων εκτύπωσης ή ηλεκτρονικής έκδοσης (παράγραφος 9).</w:t>
            </w:r>
          </w:p>
          <w:p w:rsidR="00AE3359" w:rsidRPr="00AE3359" w:rsidRDefault="00AE3359" w:rsidP="00AE3359">
            <w:pPr>
              <w:numPr>
                <w:ilvl w:val="0"/>
                <w:numId w:val="8"/>
              </w:numPr>
              <w:jc w:val="both"/>
              <w:rPr>
                <w:sz w:val="22"/>
                <w:szCs w:val="22"/>
              </w:rPr>
            </w:pPr>
            <w:r>
              <w:rPr>
                <w:b/>
                <w:sz w:val="22"/>
              </w:rPr>
              <w:t>Οι ενισχύσεις προς τον Τύπο και τα περιοδικά</w:t>
            </w:r>
            <w:r>
              <w:t>, είτε εκδίδονται σε έντυπη είτε σε ηλεκτρονική μορφή, δεν είναι επιλέξιμες δυνάμει του παρόντος άρθρου (παράγραφος 10).</w:t>
            </w:r>
          </w:p>
        </w:tc>
        <w:tc>
          <w:tcPr>
            <w:tcW w:w="2313" w:type="pct"/>
            <w:shd w:val="clear" w:color="auto" w:fill="auto"/>
          </w:tcPr>
          <w:p w:rsidR="00AE3359" w:rsidRPr="00AE3359" w:rsidRDefault="00AE3359" w:rsidP="00AE3359">
            <w:pPr>
              <w:rPr>
                <w:sz w:val="22"/>
                <w:szCs w:val="22"/>
              </w:rPr>
            </w:pPr>
          </w:p>
        </w:tc>
      </w:tr>
    </w:tbl>
    <w:p w:rsidR="00AE37E6" w:rsidRDefault="00AE37E6" w:rsidP="006C6F59">
      <w:pPr>
        <w:rPr>
          <w:b/>
          <w:sz w:val="22"/>
          <w:szCs w:val="22"/>
          <w:u w:val="single"/>
        </w:rPr>
      </w:pPr>
    </w:p>
    <w:p w:rsidR="00AE37E6" w:rsidRDefault="00AE37E6" w:rsidP="006C6F59">
      <w:pPr>
        <w:rPr>
          <w:b/>
          <w:sz w:val="22"/>
          <w:szCs w:val="22"/>
          <w:u w:val="single"/>
        </w:rPr>
      </w:pPr>
    </w:p>
    <w:p w:rsidR="00AE37E6" w:rsidRPr="001161D2" w:rsidRDefault="00AE37E6" w:rsidP="006C6F59">
      <w:pPr>
        <w:rPr>
          <w:sz w:val="22"/>
          <w:szCs w:val="22"/>
        </w:rPr>
      </w:pPr>
    </w:p>
    <w:p w:rsidR="009F52DA" w:rsidRPr="001161D2" w:rsidRDefault="009F52DA" w:rsidP="006C6F59">
      <w:pPr>
        <w:rPr>
          <w:b/>
          <w:sz w:val="22"/>
          <w:szCs w:val="22"/>
          <w:u w:val="single"/>
        </w:rPr>
      </w:pPr>
    </w:p>
    <w:tbl>
      <w:tblPr>
        <w:tblW w:w="528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9"/>
        <w:gridCol w:w="7003"/>
      </w:tblGrid>
      <w:tr w:rsidR="00EC2132" w:rsidRPr="00E93688" w:rsidTr="007A1162">
        <w:tc>
          <w:tcPr>
            <w:tcW w:w="2602" w:type="pct"/>
            <w:shd w:val="clear" w:color="auto" w:fill="B8CCE4"/>
          </w:tcPr>
          <w:p w:rsidR="005A4C70" w:rsidRPr="00E93688" w:rsidRDefault="00FC2121" w:rsidP="001161D2">
            <w:pPr>
              <w:ind w:left="360"/>
              <w:jc w:val="center"/>
              <w:rPr>
                <w:b/>
                <w:smallCaps/>
                <w:sz w:val="22"/>
                <w:szCs w:val="22"/>
              </w:rPr>
            </w:pPr>
            <w:proofErr w:type="spellStart"/>
            <w:r>
              <w:rPr>
                <w:b/>
                <w:smallCaps/>
                <w:sz w:val="22"/>
              </w:rPr>
              <w:t>Α</w:t>
            </w:r>
            <w:r w:rsidR="005A4C70">
              <w:rPr>
                <w:b/>
                <w:smallCaps/>
                <w:sz w:val="22"/>
              </w:rPr>
              <w:t>ρθρο</w:t>
            </w:r>
            <w:proofErr w:type="spellEnd"/>
            <w:r w:rsidR="005A4C70">
              <w:rPr>
                <w:b/>
                <w:smallCaps/>
                <w:sz w:val="22"/>
              </w:rPr>
              <w:t xml:space="preserve"> 54</w:t>
            </w:r>
          </w:p>
          <w:p w:rsidR="00BB080C" w:rsidRPr="00EC2132" w:rsidRDefault="0007152F" w:rsidP="001161D2">
            <w:pPr>
              <w:ind w:left="360"/>
              <w:jc w:val="center"/>
              <w:rPr>
                <w:sz w:val="22"/>
                <w:szCs w:val="22"/>
              </w:rPr>
            </w:pPr>
            <w:r>
              <w:rPr>
                <w:b/>
                <w:smallCaps/>
                <w:sz w:val="22"/>
              </w:rPr>
              <w:t>Καθεστώτα ενισχύσεων για οπτικοακουστικά έργα</w:t>
            </w:r>
          </w:p>
        </w:tc>
        <w:tc>
          <w:tcPr>
            <w:tcW w:w="2398" w:type="pct"/>
            <w:shd w:val="clear" w:color="auto" w:fill="B8CCE4"/>
          </w:tcPr>
          <w:p w:rsidR="00BB080C" w:rsidRPr="00EC2132" w:rsidRDefault="00FC2121" w:rsidP="001161D2">
            <w:pPr>
              <w:jc w:val="center"/>
              <w:rPr>
                <w:sz w:val="22"/>
                <w:szCs w:val="22"/>
              </w:rPr>
            </w:pPr>
            <w:proofErr w:type="spellStart"/>
            <w:r>
              <w:rPr>
                <w:b/>
                <w:smallCaps/>
                <w:sz w:val="22"/>
              </w:rPr>
              <w:t>Ε</w:t>
            </w:r>
            <w:r w:rsidR="00BB080C">
              <w:rPr>
                <w:b/>
                <w:smallCaps/>
                <w:sz w:val="22"/>
              </w:rPr>
              <w:t>λεγχος</w:t>
            </w:r>
            <w:proofErr w:type="spellEnd"/>
            <w:r w:rsidR="00BB080C">
              <w:rPr>
                <w:b/>
                <w:smallCaps/>
                <w:sz w:val="22"/>
              </w:rPr>
              <w:t xml:space="preserve"> συμμόρφωσης (OK;)</w:t>
            </w:r>
          </w:p>
        </w:tc>
      </w:tr>
      <w:tr w:rsidR="002A54A1" w:rsidRPr="001161D2" w:rsidTr="00895393">
        <w:tc>
          <w:tcPr>
            <w:tcW w:w="2602" w:type="pct"/>
            <w:shd w:val="clear" w:color="auto" w:fill="auto"/>
          </w:tcPr>
          <w:p w:rsidR="002A54A1" w:rsidRPr="006C6F59" w:rsidRDefault="002A54A1" w:rsidP="002A54A1">
            <w:pPr>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tc>
        <w:tc>
          <w:tcPr>
            <w:tcW w:w="2398" w:type="pct"/>
            <w:shd w:val="clear" w:color="auto" w:fill="auto"/>
          </w:tcPr>
          <w:p w:rsidR="002A54A1" w:rsidRPr="006C6F59"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t>Επιδοτούμενα προϊόντα</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9F0F16" w:rsidRDefault="002A54A1" w:rsidP="002A54A1">
            <w:pPr>
              <w:numPr>
                <w:ilvl w:val="0"/>
                <w:numId w:val="9"/>
              </w:numPr>
              <w:jc w:val="both"/>
              <w:rPr>
                <w:sz w:val="22"/>
                <w:szCs w:val="22"/>
              </w:rPr>
            </w:pPr>
            <w:r>
              <w:rPr>
                <w:b/>
                <w:sz w:val="22"/>
              </w:rPr>
              <w:t>Οι ενισχύσεις στηρίζουν ένα πολιτιστικό προϊόν</w:t>
            </w:r>
            <w:r>
              <w:t>.</w:t>
            </w:r>
            <w:r>
              <w:rPr>
                <w:sz w:val="22"/>
              </w:rPr>
              <w:t xml:space="preserve"> Για την αποφυγή πρόδηλων σφαλμάτων στον χαρακτηρισμό ενός προϊόντος ως πολιτιστικού, κάθε κράτος μέλος θεσπίζει αποτελεσματικές διαδικασίες, όπως είναι η </w:t>
            </w:r>
            <w:r>
              <w:rPr>
                <w:sz w:val="22"/>
              </w:rPr>
              <w:lastRenderedPageBreak/>
              <w:t>επιλογή των προτάσεων από ένα ή περισσότερα πρόσωπα επιφορτισμένα με την επιλογή ή την επαλήθευση βάσει προκαθορισμένου καταλόγου πολιτιστικών κριτηρίων (παράγραφος 2).</w:t>
            </w:r>
          </w:p>
          <w:p w:rsidR="002A54A1" w:rsidRPr="001161D2" w:rsidRDefault="002A54A1" w:rsidP="001161D2">
            <w:pPr>
              <w:numPr>
                <w:ilvl w:val="0"/>
                <w:numId w:val="9"/>
              </w:numPr>
              <w:autoSpaceDE w:val="0"/>
              <w:autoSpaceDN w:val="0"/>
              <w:adjustRightInd w:val="0"/>
              <w:jc w:val="both"/>
              <w:rPr>
                <w:sz w:val="22"/>
                <w:szCs w:val="22"/>
              </w:rPr>
            </w:pPr>
            <w:r>
              <w:rPr>
                <w:sz w:val="22"/>
              </w:rPr>
              <w:t xml:space="preserve">Οι ενισχύσεις </w:t>
            </w:r>
            <w:r>
              <w:rPr>
                <w:b/>
                <w:sz w:val="22"/>
              </w:rPr>
              <w:t>δεν προορίζονται αποκλειστικά για συγκεκριμένες δραστηριότητες παραγωγής ούτε για επιμέρους τμήματα της αξιακής αλυσίδας της παραγωγής</w:t>
            </w:r>
            <w:r>
              <w:rPr>
                <w:sz w:val="22"/>
              </w:rPr>
              <w:t>. Οι ενισχύσεις για υποδομές κινηματογραφικών στούντιο δεν είναι επιλέξιμες δυνάμει του παρόντος άρθρου (παράγραφος 9).</w:t>
            </w:r>
          </w:p>
        </w:tc>
        <w:tc>
          <w:tcPr>
            <w:tcW w:w="2398" w:type="pct"/>
            <w:shd w:val="clear" w:color="auto" w:fill="auto"/>
          </w:tcPr>
          <w:p w:rsidR="002A54A1" w:rsidRPr="001161D2"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lastRenderedPageBreak/>
              <w:t>Μορφή των ενισχύσεων</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965D83" w:rsidRDefault="002A54A1" w:rsidP="002A54A1">
            <w:pPr>
              <w:numPr>
                <w:ilvl w:val="0"/>
                <w:numId w:val="10"/>
              </w:numPr>
              <w:jc w:val="both"/>
              <w:rPr>
                <w:sz w:val="22"/>
                <w:szCs w:val="22"/>
              </w:rPr>
            </w:pPr>
            <w:r>
              <w:rPr>
                <w:sz w:val="22"/>
              </w:rPr>
              <w:t xml:space="preserve">Οι ενισχύσεις μπορούν να λάβουν τις ακόλουθες </w:t>
            </w:r>
            <w:r>
              <w:rPr>
                <w:b/>
                <w:sz w:val="22"/>
              </w:rPr>
              <w:t>μορφές</w:t>
            </w:r>
            <w:r>
              <w:rPr>
                <w:sz w:val="22"/>
              </w:rPr>
              <w:t xml:space="preserve"> (παράγραφος 3):</w:t>
            </w:r>
          </w:p>
          <w:p w:rsidR="002A54A1" w:rsidRPr="00965D83" w:rsidRDefault="002A54A1" w:rsidP="00FC2121">
            <w:pPr>
              <w:numPr>
                <w:ilvl w:val="0"/>
                <w:numId w:val="37"/>
              </w:numPr>
              <w:jc w:val="both"/>
              <w:rPr>
                <w:sz w:val="22"/>
                <w:szCs w:val="22"/>
              </w:rPr>
            </w:pPr>
            <w:r>
              <w:rPr>
                <w:sz w:val="22"/>
              </w:rPr>
              <w:t>ενισχύσεις για την παραγωγή οπτικοακουστικών έργων·</w:t>
            </w:r>
          </w:p>
          <w:p w:rsidR="002A54A1" w:rsidRPr="00965D83" w:rsidRDefault="002A54A1" w:rsidP="00FC2121">
            <w:pPr>
              <w:numPr>
                <w:ilvl w:val="0"/>
                <w:numId w:val="37"/>
              </w:numPr>
              <w:jc w:val="both"/>
              <w:rPr>
                <w:sz w:val="22"/>
                <w:szCs w:val="22"/>
              </w:rPr>
            </w:pPr>
            <w:r>
              <w:rPr>
                <w:sz w:val="22"/>
              </w:rPr>
              <w:t xml:space="preserve">ενισχύσεις για το στάδιο προ της παραγωγής· </w:t>
            </w:r>
          </w:p>
          <w:p w:rsidR="002A54A1" w:rsidRPr="006C6F59" w:rsidRDefault="002A54A1" w:rsidP="00FC2121">
            <w:pPr>
              <w:numPr>
                <w:ilvl w:val="0"/>
                <w:numId w:val="37"/>
              </w:numPr>
              <w:jc w:val="both"/>
              <w:rPr>
                <w:sz w:val="22"/>
                <w:szCs w:val="22"/>
              </w:rPr>
            </w:pPr>
            <w:r>
              <w:rPr>
                <w:sz w:val="22"/>
              </w:rPr>
              <w:t>ενισχύσεις διανομής.</w:t>
            </w:r>
          </w:p>
        </w:tc>
        <w:tc>
          <w:tcPr>
            <w:tcW w:w="2398" w:type="pct"/>
            <w:shd w:val="clear" w:color="auto" w:fill="auto"/>
          </w:tcPr>
          <w:p w:rsidR="002A54A1" w:rsidRPr="006C6F59"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t>Συμμόρφωση με τους κανόνες της εσωτερικής αγοράς</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0F52B9" w:rsidRDefault="002A54A1" w:rsidP="002A54A1">
            <w:pPr>
              <w:numPr>
                <w:ilvl w:val="0"/>
                <w:numId w:val="10"/>
              </w:numPr>
              <w:autoSpaceDE w:val="0"/>
              <w:autoSpaceDN w:val="0"/>
              <w:adjustRightInd w:val="0"/>
              <w:jc w:val="both"/>
              <w:rPr>
                <w:sz w:val="22"/>
                <w:szCs w:val="22"/>
              </w:rPr>
            </w:pPr>
            <w:r>
              <w:rPr>
                <w:sz w:val="22"/>
              </w:rPr>
              <w:t xml:space="preserve">Όταν σε ένα κράτος μέλος η χορήγηση ενίσχυσης υπόκειται σε υποχρεώσεις </w:t>
            </w:r>
            <w:r>
              <w:rPr>
                <w:b/>
                <w:sz w:val="22"/>
              </w:rPr>
              <w:t>εδαφικότητας των δαπανών</w:t>
            </w:r>
            <w:r>
              <w:rPr>
                <w:sz w:val="22"/>
              </w:rPr>
              <w:t>, τα καθεστώτα ενισχύσεων για την παραγωγή οπτικοακουστικών έργων μπορούν (παράγραφος 4):</w:t>
            </w:r>
          </w:p>
          <w:p w:rsidR="002A54A1" w:rsidRPr="000F52B9" w:rsidRDefault="002A54A1" w:rsidP="00FC2121">
            <w:pPr>
              <w:numPr>
                <w:ilvl w:val="0"/>
                <w:numId w:val="38"/>
              </w:numPr>
              <w:autoSpaceDE w:val="0"/>
              <w:autoSpaceDN w:val="0"/>
              <w:adjustRightInd w:val="0"/>
              <w:jc w:val="both"/>
              <w:rPr>
                <w:sz w:val="22"/>
                <w:szCs w:val="22"/>
              </w:rPr>
            </w:pPr>
            <w:r>
              <w:rPr>
                <w:sz w:val="22"/>
              </w:rPr>
              <w:t>να απαιτούν έως το 160% της ενίσχυσης που χορηγείται για την παραγωγή ενός οπτικοακουστικού έργου να δαπανάται στο έδαφος του κράτους μέλους που χορηγεί την ενίσχυση ή</w:t>
            </w:r>
          </w:p>
          <w:p w:rsidR="002A54A1" w:rsidRPr="000F52B9" w:rsidRDefault="002A54A1" w:rsidP="00FC2121">
            <w:pPr>
              <w:numPr>
                <w:ilvl w:val="0"/>
                <w:numId w:val="38"/>
              </w:numPr>
              <w:autoSpaceDE w:val="0"/>
              <w:autoSpaceDN w:val="0"/>
              <w:adjustRightInd w:val="0"/>
              <w:jc w:val="both"/>
              <w:rPr>
                <w:sz w:val="22"/>
                <w:szCs w:val="22"/>
              </w:rPr>
            </w:pPr>
            <w:r>
              <w:rPr>
                <w:sz w:val="22"/>
              </w:rPr>
              <w:t>να υπολογίζουν το ποσό της ενίσχυσης που χορηγείται για την παραγωγή δεδομένου οπτικοακουστικού έργου ως ποσοστό των δαπανών για τις δραστηριότητες παραγωγής που πραγματοποιούνται στο κράτος μέλος που χορηγεί την ενίσχυση, κατά κανόνα στην περίπτωση καθεστώτων ενισχύσεων υπό μορφή φορολογικών κινήτρων.</w:t>
            </w:r>
          </w:p>
          <w:p w:rsidR="002A54A1" w:rsidRDefault="00C26463" w:rsidP="001161D2">
            <w:pPr>
              <w:autoSpaceDE w:val="0"/>
              <w:autoSpaceDN w:val="0"/>
              <w:adjustRightInd w:val="0"/>
              <w:ind w:left="360"/>
              <w:jc w:val="both"/>
              <w:rPr>
                <w:sz w:val="22"/>
                <w:szCs w:val="22"/>
              </w:rPr>
            </w:pPr>
            <w:r>
              <w:rPr>
                <w:sz w:val="22"/>
              </w:rPr>
              <w:t xml:space="preserve">Σε αμφότερες τις περιπτώσεις, το ανώτατο ποσό των δαπανών που υπόκεινται σε υποχρεώσεις εδαφικότητας δεν υπερβαίνει σε καμία περίπτωση το 80% του συνολικού προϋπολογισμού της παραγωγής. Για να είναι ένα έργο επιλέξιμο προς ενίσχυση, ένα κράτος μέλος μπορεί επίσης να απαιτήσει ένα ελάχιστο επίπεδο της δραστηριότητας παραγωγής να πραγματοποιείται στην οικεία επικράτεια, όμως το επίπεδο αυτό δεν δύναται να υπερβαίνει το 50 % του συνολικού προϋπολογισμού παραγωγής. </w:t>
            </w:r>
          </w:p>
          <w:p w:rsidR="002A54A1" w:rsidRPr="006C6F59" w:rsidRDefault="002A54A1" w:rsidP="001161D2">
            <w:pPr>
              <w:numPr>
                <w:ilvl w:val="0"/>
                <w:numId w:val="10"/>
              </w:numPr>
              <w:jc w:val="both"/>
              <w:rPr>
                <w:sz w:val="22"/>
                <w:szCs w:val="22"/>
              </w:rPr>
            </w:pPr>
            <w:r>
              <w:rPr>
                <w:b/>
                <w:sz w:val="22"/>
              </w:rPr>
              <w:t>Οι ενισχύσεις δεν προορίζονται αποκλειστικά για τους υπηκόους του οικείου κράτους μέλους</w:t>
            </w:r>
            <w:r>
              <w:rPr>
                <w:sz w:val="22"/>
              </w:rPr>
              <w:t>, και οι δικαιούχοι δεν υποχρεούνται να έχουν το καθεστώς επιχείρησης η οποία έχει συσταθεί βάσει του εθνικού εμπορικού δικαίου (παράγραφος 10).</w:t>
            </w:r>
          </w:p>
        </w:tc>
        <w:tc>
          <w:tcPr>
            <w:tcW w:w="2398" w:type="pct"/>
            <w:shd w:val="clear" w:color="auto" w:fill="auto"/>
          </w:tcPr>
          <w:p w:rsidR="002A54A1" w:rsidRPr="006C6F59"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t>Επιλέξιμες δαπάνες</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B83A4A" w:rsidRDefault="002A54A1" w:rsidP="002A54A1">
            <w:pPr>
              <w:numPr>
                <w:ilvl w:val="0"/>
                <w:numId w:val="10"/>
              </w:numPr>
              <w:autoSpaceDE w:val="0"/>
              <w:autoSpaceDN w:val="0"/>
              <w:adjustRightInd w:val="0"/>
              <w:jc w:val="both"/>
              <w:rPr>
                <w:sz w:val="22"/>
                <w:szCs w:val="22"/>
              </w:rPr>
            </w:pPr>
            <w:r>
              <w:rPr>
                <w:b/>
                <w:sz w:val="22"/>
              </w:rPr>
              <w:lastRenderedPageBreak/>
              <w:t xml:space="preserve">Επιλέξιμες δαπάνες </w:t>
            </w:r>
            <w:r>
              <w:rPr>
                <w:sz w:val="22"/>
              </w:rPr>
              <w:t xml:space="preserve">είναι οι ακόλουθες (παράγραφος 5): </w:t>
            </w:r>
          </w:p>
          <w:p w:rsidR="002A54A1" w:rsidRPr="00B83A4A" w:rsidRDefault="002A54A1" w:rsidP="00FC2121">
            <w:pPr>
              <w:numPr>
                <w:ilvl w:val="0"/>
                <w:numId w:val="39"/>
              </w:numPr>
              <w:autoSpaceDE w:val="0"/>
              <w:autoSpaceDN w:val="0"/>
              <w:adjustRightInd w:val="0"/>
              <w:jc w:val="both"/>
              <w:rPr>
                <w:sz w:val="22"/>
                <w:szCs w:val="22"/>
              </w:rPr>
            </w:pPr>
            <w:r>
              <w:rPr>
                <w:sz w:val="22"/>
              </w:rPr>
              <w:t>για τις ενισχύσεις παραγωγής: το συνολικό κόστος της παραγωγής των οπτικοακουστικών έργων, συμπεριλαμβανομένων των εξόδων που αφορούν τη βελτίωση της προσπελασιμότητας για τα άτομα με αναπηρία·</w:t>
            </w:r>
          </w:p>
          <w:p w:rsidR="002A54A1" w:rsidRPr="00B83A4A" w:rsidRDefault="002A54A1" w:rsidP="00FC2121">
            <w:pPr>
              <w:numPr>
                <w:ilvl w:val="0"/>
                <w:numId w:val="39"/>
              </w:numPr>
              <w:autoSpaceDE w:val="0"/>
              <w:autoSpaceDN w:val="0"/>
              <w:adjustRightInd w:val="0"/>
              <w:jc w:val="both"/>
              <w:rPr>
                <w:sz w:val="22"/>
                <w:szCs w:val="22"/>
              </w:rPr>
            </w:pPr>
            <w:r>
              <w:rPr>
                <w:sz w:val="22"/>
              </w:rPr>
              <w:t>για τις ενισχύσεις προ-παραγωγής: οι δαπάνες για τη συγγραφή σεναρίου και την ανάπτυξη οπτικοακουστικών έργων·</w:t>
            </w:r>
          </w:p>
          <w:p w:rsidR="002A54A1" w:rsidRPr="001161D2" w:rsidRDefault="002A54A1" w:rsidP="00FC2121">
            <w:pPr>
              <w:numPr>
                <w:ilvl w:val="0"/>
                <w:numId w:val="39"/>
              </w:numPr>
              <w:autoSpaceDE w:val="0"/>
              <w:autoSpaceDN w:val="0"/>
              <w:adjustRightInd w:val="0"/>
              <w:jc w:val="both"/>
              <w:rPr>
                <w:sz w:val="22"/>
                <w:szCs w:val="22"/>
              </w:rPr>
            </w:pPr>
            <w:r>
              <w:rPr>
                <w:sz w:val="22"/>
              </w:rPr>
              <w:t>για τις ενισχύσεις διανομής: οι δαπάνες για τη διανομή και προώθηση οπτικοακουστικών έργων.</w:t>
            </w:r>
          </w:p>
        </w:tc>
        <w:tc>
          <w:tcPr>
            <w:tcW w:w="2398" w:type="pct"/>
            <w:shd w:val="clear" w:color="auto" w:fill="auto"/>
          </w:tcPr>
          <w:p w:rsidR="002A54A1" w:rsidRPr="001161D2" w:rsidRDefault="002A54A1" w:rsidP="00AE3359">
            <w:pPr>
              <w:rPr>
                <w:sz w:val="22"/>
                <w:szCs w:val="22"/>
              </w:rPr>
            </w:pPr>
          </w:p>
        </w:tc>
      </w:tr>
      <w:tr w:rsidR="002A54A1" w:rsidRPr="001161D2" w:rsidTr="001161D2">
        <w:tc>
          <w:tcPr>
            <w:tcW w:w="2602" w:type="pct"/>
            <w:shd w:val="clear" w:color="auto" w:fill="D9D9D9"/>
          </w:tcPr>
          <w:p w:rsidR="002A54A1" w:rsidRPr="006C6F59" w:rsidRDefault="006C6F59" w:rsidP="002A54A1">
            <w:pPr>
              <w:jc w:val="both"/>
              <w:rPr>
                <w:sz w:val="22"/>
                <w:szCs w:val="22"/>
              </w:rPr>
            </w:pPr>
            <w:r>
              <w:rPr>
                <w:b/>
                <w:sz w:val="22"/>
              </w:rPr>
              <w:t>Ένταση της ενίσχυσης</w:t>
            </w:r>
          </w:p>
        </w:tc>
        <w:tc>
          <w:tcPr>
            <w:tcW w:w="2398" w:type="pct"/>
            <w:shd w:val="clear" w:color="auto" w:fill="D9D9D9"/>
          </w:tcPr>
          <w:p w:rsidR="002A54A1" w:rsidRPr="006C6F59" w:rsidRDefault="002A54A1" w:rsidP="00AE3359">
            <w:pPr>
              <w:rPr>
                <w:sz w:val="22"/>
                <w:szCs w:val="22"/>
              </w:rPr>
            </w:pPr>
          </w:p>
        </w:tc>
      </w:tr>
      <w:tr w:rsidR="002A54A1" w:rsidRPr="001161D2" w:rsidTr="00895393">
        <w:tc>
          <w:tcPr>
            <w:tcW w:w="2602" w:type="pct"/>
            <w:shd w:val="clear" w:color="auto" w:fill="auto"/>
          </w:tcPr>
          <w:p w:rsidR="006C6F59" w:rsidRPr="009B62D2" w:rsidRDefault="006C6F59" w:rsidP="006C6F59">
            <w:pPr>
              <w:numPr>
                <w:ilvl w:val="0"/>
                <w:numId w:val="10"/>
              </w:numPr>
              <w:autoSpaceDE w:val="0"/>
              <w:autoSpaceDN w:val="0"/>
              <w:adjustRightInd w:val="0"/>
              <w:jc w:val="both"/>
              <w:rPr>
                <w:sz w:val="22"/>
                <w:szCs w:val="22"/>
              </w:rPr>
            </w:pPr>
            <w:r>
              <w:rPr>
                <w:sz w:val="22"/>
              </w:rPr>
              <w:t xml:space="preserve">Η </w:t>
            </w:r>
            <w:r>
              <w:rPr>
                <w:b/>
                <w:sz w:val="22"/>
              </w:rPr>
              <w:t>ένταση της ενίσχυσης</w:t>
            </w:r>
            <w:r>
              <w:rPr>
                <w:sz w:val="22"/>
              </w:rPr>
              <w:t xml:space="preserve"> για την παραγωγή οπτικοακουστικών έργων δεν υπερβαίνει το 50% των επιλέξιμων δαπανών (παράγραφος 6).</w:t>
            </w:r>
          </w:p>
          <w:p w:rsidR="006C6F59" w:rsidRPr="009B62D2" w:rsidRDefault="006C6F59" w:rsidP="006C6F59">
            <w:pPr>
              <w:numPr>
                <w:ilvl w:val="0"/>
                <w:numId w:val="10"/>
              </w:numPr>
              <w:autoSpaceDE w:val="0"/>
              <w:autoSpaceDN w:val="0"/>
              <w:adjustRightInd w:val="0"/>
              <w:jc w:val="both"/>
              <w:rPr>
                <w:sz w:val="22"/>
                <w:szCs w:val="22"/>
              </w:rPr>
            </w:pPr>
            <w:r>
              <w:rPr>
                <w:b/>
                <w:sz w:val="22"/>
              </w:rPr>
              <w:t>Πριμοδοτήσεις:</w:t>
            </w:r>
            <w:r>
              <w:rPr>
                <w:sz w:val="22"/>
              </w:rPr>
              <w:t xml:space="preserve"> Η ένταση της ενίσχυσης μπορεί να αυξηθεί ως εξής (παράγραφος 7):</w:t>
            </w:r>
          </w:p>
          <w:p w:rsidR="006C6F59" w:rsidRPr="009B62D2" w:rsidRDefault="006C6F59" w:rsidP="00FC2121">
            <w:pPr>
              <w:numPr>
                <w:ilvl w:val="0"/>
                <w:numId w:val="40"/>
              </w:numPr>
              <w:autoSpaceDE w:val="0"/>
              <w:autoSpaceDN w:val="0"/>
              <w:adjustRightInd w:val="0"/>
              <w:jc w:val="both"/>
              <w:rPr>
                <w:sz w:val="22"/>
                <w:szCs w:val="22"/>
              </w:rPr>
            </w:pPr>
            <w:r>
              <w:rPr>
                <w:sz w:val="22"/>
              </w:rPr>
              <w:t>σε 60 % των επιλέξιμων δαπανών για τις διασυνοριακές παραγωγές που χρηματοδοτούνται από περισσότερα του ενός κράτη μέλη και στις οποίες συμμετέχουν παραγωγοί από περισσότερα του ενός κράτη μέλη·</w:t>
            </w:r>
          </w:p>
          <w:p w:rsidR="006C6F59" w:rsidRPr="009B62D2" w:rsidRDefault="006C6F59" w:rsidP="00FC2121">
            <w:pPr>
              <w:numPr>
                <w:ilvl w:val="0"/>
                <w:numId w:val="40"/>
              </w:numPr>
              <w:autoSpaceDE w:val="0"/>
              <w:autoSpaceDN w:val="0"/>
              <w:adjustRightInd w:val="0"/>
              <w:jc w:val="both"/>
              <w:rPr>
                <w:sz w:val="22"/>
                <w:szCs w:val="22"/>
              </w:rPr>
            </w:pPr>
            <w:r>
              <w:rPr>
                <w:sz w:val="22"/>
              </w:rPr>
              <w:t>σε 100 % των επιλέξιμων δαπανών για τα δύσκολα οπτικοακουστικά έργα και τις συμπαραγωγές στις οποίες συμμετέχουν χώρες από τον κατάλογο της Επιτροπής Αναπτυξιακής Βοήθειας (ΕΑΒ) του ΟΟΣΑ.</w:t>
            </w:r>
          </w:p>
          <w:p w:rsidR="002A54A1" w:rsidRPr="001161D2" w:rsidRDefault="006C6F59" w:rsidP="001161D2">
            <w:pPr>
              <w:numPr>
                <w:ilvl w:val="0"/>
                <w:numId w:val="11"/>
              </w:numPr>
              <w:autoSpaceDE w:val="0"/>
              <w:autoSpaceDN w:val="0"/>
              <w:adjustRightInd w:val="0"/>
              <w:jc w:val="both"/>
              <w:rPr>
                <w:sz w:val="22"/>
                <w:szCs w:val="22"/>
              </w:rPr>
            </w:pPr>
            <w:r>
              <w:rPr>
                <w:sz w:val="22"/>
              </w:rPr>
              <w:t xml:space="preserve">Η </w:t>
            </w:r>
            <w:r>
              <w:rPr>
                <w:b/>
                <w:sz w:val="22"/>
              </w:rPr>
              <w:t>ένταση της ενίσχυσης</w:t>
            </w:r>
            <w:r>
              <w:rPr>
                <w:sz w:val="22"/>
              </w:rPr>
              <w:t xml:space="preserve"> για το στάδιο προ-παραγωγής δεν υπερβαίνει το 100 % των επιλέξιμων δαπανών. Εάν το σενάριο ή το σχέδιο καταλήγει σε οπτικοακουστικό έργο, όπως κινηματογραφική ταινία, οι δαπάνες προ-παραγωγής ενσωματώνονται στον συνολικό προϋπολογισμό και λαμβάνονται υπόψη στον υπολογισμό της έντασης της ενίσχυσης. Η ένταση της ενίσχυσης για το στάδιο διανομής είναι η ίδια με εκείνη του σταδίου παραγωγής (παράγραφος 8).</w:t>
            </w:r>
          </w:p>
        </w:tc>
        <w:tc>
          <w:tcPr>
            <w:tcW w:w="2398" w:type="pct"/>
            <w:shd w:val="clear" w:color="auto" w:fill="auto"/>
          </w:tcPr>
          <w:p w:rsidR="002A54A1" w:rsidRPr="001161D2" w:rsidRDefault="002A54A1" w:rsidP="00AE3359">
            <w:pPr>
              <w:rPr>
                <w:sz w:val="22"/>
                <w:szCs w:val="22"/>
              </w:rPr>
            </w:pPr>
          </w:p>
        </w:tc>
      </w:tr>
    </w:tbl>
    <w:p w:rsidR="00A67375" w:rsidRPr="001161D2" w:rsidRDefault="00A67375" w:rsidP="00AE3359">
      <w:pPr>
        <w:rPr>
          <w:sz w:val="22"/>
          <w:szCs w:val="22"/>
        </w:rPr>
      </w:pPr>
    </w:p>
    <w:sectPr w:rsidR="00A67375" w:rsidRPr="001161D2" w:rsidSect="00895393">
      <w:headerReference w:type="default" r:id="rId13"/>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498" w:rsidRDefault="00E02498">
      <w:r>
        <w:separator/>
      </w:r>
    </w:p>
  </w:endnote>
  <w:endnote w:type="continuationSeparator" w:id="0">
    <w:p w:rsidR="00E02498" w:rsidRDefault="00E02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A1"/>
    <w:family w:val="swiss"/>
    <w:pitch w:val="variable"/>
    <w:sig w:usb0="E0002AFF" w:usb1="C000247B"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498" w:rsidRDefault="00E02498">
      <w:r>
        <w:separator/>
      </w:r>
    </w:p>
  </w:footnote>
  <w:footnote w:type="continuationSeparator" w:id="0">
    <w:p w:rsidR="00E02498" w:rsidRDefault="00E024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4E" w:rsidRDefault="001F344E" w:rsidP="001F344E">
    <w:pPr>
      <w:pStyle w:val="a8"/>
      <w:ind w:left="720"/>
      <w:rPr>
        <w:sz w:val="22"/>
        <w:szCs w:val="22"/>
      </w:rPr>
    </w:pPr>
    <w:r>
      <w:rPr>
        <w:sz w:val="22"/>
      </w:rPr>
      <w:t>Η ανάγνωση του παρόντος εγγράφου δεν απαλλάσσει από την ανάγνωση του ΓΚΑΚ 2014</w:t>
    </w:r>
  </w:p>
  <w:p w:rsidR="00831AE9" w:rsidRDefault="00831AE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9DF"/>
    <w:multiLevelType w:val="hybridMultilevel"/>
    <w:tmpl w:val="910CE5C6"/>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0B166E"/>
    <w:multiLevelType w:val="hybridMultilevel"/>
    <w:tmpl w:val="95E2A0A0"/>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B9165AD"/>
    <w:multiLevelType w:val="hybridMultilevel"/>
    <w:tmpl w:val="81ECDD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29760C0"/>
    <w:multiLevelType w:val="hybridMultilevel"/>
    <w:tmpl w:val="F11C8A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BF5078"/>
    <w:multiLevelType w:val="hybridMultilevel"/>
    <w:tmpl w:val="CB760D9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15C736DE"/>
    <w:multiLevelType w:val="hybridMultilevel"/>
    <w:tmpl w:val="DB6C6E98"/>
    <w:lvl w:ilvl="0" w:tplc="3264719E">
      <w:start w:val="1"/>
      <w:numFmt w:val="bullet"/>
      <w:lvlText w:val=""/>
      <w:lvlJc w:val="left"/>
      <w:pPr>
        <w:tabs>
          <w:tab w:val="num" w:pos="360"/>
        </w:tabs>
        <w:ind w:left="360" w:hanging="360"/>
      </w:pPr>
      <w:rPr>
        <w:rFonts w:ascii="Symbol" w:hAnsi="Symbol" w:hint="default"/>
        <w:sz w:val="24"/>
        <w:szCs w:val="24"/>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16D640A1"/>
    <w:multiLevelType w:val="hybridMultilevel"/>
    <w:tmpl w:val="3CAE6A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E05199"/>
    <w:multiLevelType w:val="hybridMultilevel"/>
    <w:tmpl w:val="48BCC2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8220A9F"/>
    <w:multiLevelType w:val="hybridMultilevel"/>
    <w:tmpl w:val="57E434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9D23775"/>
    <w:multiLevelType w:val="hybridMultilevel"/>
    <w:tmpl w:val="2452A1B4"/>
    <w:lvl w:ilvl="0" w:tplc="08090017">
      <w:start w:val="1"/>
      <w:numFmt w:val="lowerLetter"/>
      <w:lvlText w:val="%1)"/>
      <w:lvlJc w:val="left"/>
      <w:pPr>
        <w:ind w:left="720" w:hanging="360"/>
      </w:p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52826EF"/>
    <w:multiLevelType w:val="hybridMultilevel"/>
    <w:tmpl w:val="8D322810"/>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0B6DDA"/>
    <w:multiLevelType w:val="hybridMultilevel"/>
    <w:tmpl w:val="2F948B7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0420C27"/>
    <w:multiLevelType w:val="hybridMultilevel"/>
    <w:tmpl w:val="8B4A0C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6A63884"/>
    <w:multiLevelType w:val="hybridMultilevel"/>
    <w:tmpl w:val="ACA2320E"/>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CEE289C"/>
    <w:multiLevelType w:val="hybridMultilevel"/>
    <w:tmpl w:val="625CF9F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F65519F"/>
    <w:multiLevelType w:val="hybridMultilevel"/>
    <w:tmpl w:val="EF1813C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3282508"/>
    <w:multiLevelType w:val="hybridMultilevel"/>
    <w:tmpl w:val="C4A450B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4A53141"/>
    <w:multiLevelType w:val="hybridMultilevel"/>
    <w:tmpl w:val="6A04A51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4EB33AA"/>
    <w:multiLevelType w:val="hybridMultilevel"/>
    <w:tmpl w:val="71A090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5D82332"/>
    <w:multiLevelType w:val="hybridMultilevel"/>
    <w:tmpl w:val="BC467714"/>
    <w:lvl w:ilvl="0" w:tplc="95D8FF8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89127A9"/>
    <w:multiLevelType w:val="hybridMultilevel"/>
    <w:tmpl w:val="9230CA7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25727A8"/>
    <w:multiLevelType w:val="hybridMultilevel"/>
    <w:tmpl w:val="3B6ABEF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838222C"/>
    <w:multiLevelType w:val="hybridMultilevel"/>
    <w:tmpl w:val="5A8C02A0"/>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8B01367"/>
    <w:multiLevelType w:val="hybridMultilevel"/>
    <w:tmpl w:val="2E12EA7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12171BC"/>
    <w:multiLevelType w:val="hybridMultilevel"/>
    <w:tmpl w:val="18806248"/>
    <w:lvl w:ilvl="0" w:tplc="08090017">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30B756B"/>
    <w:multiLevelType w:val="hybridMultilevel"/>
    <w:tmpl w:val="9D24043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4085285"/>
    <w:multiLevelType w:val="hybridMultilevel"/>
    <w:tmpl w:val="DDC08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753A43"/>
    <w:multiLevelType w:val="hybridMultilevel"/>
    <w:tmpl w:val="CFC2CB5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FE40C4"/>
    <w:multiLevelType w:val="hybridMultilevel"/>
    <w:tmpl w:val="A206500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5447C67"/>
    <w:multiLevelType w:val="hybridMultilevel"/>
    <w:tmpl w:val="EF0C3FE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35"/>
  </w:num>
  <w:num w:numId="2">
    <w:abstractNumId w:val="19"/>
  </w:num>
  <w:num w:numId="3">
    <w:abstractNumId w:val="11"/>
  </w:num>
  <w:num w:numId="4">
    <w:abstractNumId w:val="5"/>
  </w:num>
  <w:num w:numId="5">
    <w:abstractNumId w:val="31"/>
  </w:num>
  <w:num w:numId="6">
    <w:abstractNumId w:val="1"/>
  </w:num>
  <w:num w:numId="7">
    <w:abstractNumId w:val="16"/>
  </w:num>
  <w:num w:numId="8">
    <w:abstractNumId w:val="15"/>
  </w:num>
  <w:num w:numId="9">
    <w:abstractNumId w:val="6"/>
  </w:num>
  <w:num w:numId="10">
    <w:abstractNumId w:val="2"/>
  </w:num>
  <w:num w:numId="11">
    <w:abstractNumId w:val="34"/>
  </w:num>
  <w:num w:numId="12">
    <w:abstractNumId w:val="18"/>
  </w:num>
  <w:num w:numId="13">
    <w:abstractNumId w:val="38"/>
  </w:num>
  <w:num w:numId="14">
    <w:abstractNumId w:val="25"/>
  </w:num>
  <w:num w:numId="15">
    <w:abstractNumId w:val="7"/>
  </w:num>
  <w:num w:numId="16">
    <w:abstractNumId w:val="9"/>
  </w:num>
  <w:num w:numId="17">
    <w:abstractNumId w:val="14"/>
  </w:num>
  <w:num w:numId="18">
    <w:abstractNumId w:val="30"/>
  </w:num>
  <w:num w:numId="19">
    <w:abstractNumId w:val="8"/>
  </w:num>
  <w:num w:numId="20">
    <w:abstractNumId w:val="23"/>
  </w:num>
  <w:num w:numId="21">
    <w:abstractNumId w:val="37"/>
  </w:num>
  <w:num w:numId="22">
    <w:abstractNumId w:val="22"/>
  </w:num>
  <w:num w:numId="23">
    <w:abstractNumId w:val="3"/>
  </w:num>
  <w:num w:numId="24">
    <w:abstractNumId w:val="13"/>
  </w:num>
  <w:num w:numId="25">
    <w:abstractNumId w:val="22"/>
  </w:num>
  <w:num w:numId="26">
    <w:abstractNumId w:val="26"/>
  </w:num>
  <w:num w:numId="27">
    <w:abstractNumId w:val="4"/>
  </w:num>
  <w:num w:numId="28">
    <w:abstractNumId w:val="10"/>
  </w:num>
  <w:num w:numId="29">
    <w:abstractNumId w:val="28"/>
  </w:num>
  <w:num w:numId="30">
    <w:abstractNumId w:val="20"/>
  </w:num>
  <w:num w:numId="31">
    <w:abstractNumId w:val="32"/>
  </w:num>
  <w:num w:numId="32">
    <w:abstractNumId w:val="36"/>
  </w:num>
  <w:num w:numId="33">
    <w:abstractNumId w:val="24"/>
  </w:num>
  <w:num w:numId="34">
    <w:abstractNumId w:val="29"/>
  </w:num>
  <w:num w:numId="35">
    <w:abstractNumId w:val="27"/>
  </w:num>
  <w:num w:numId="36">
    <w:abstractNumId w:val="33"/>
  </w:num>
  <w:num w:numId="37">
    <w:abstractNumId w:val="21"/>
  </w:num>
  <w:num w:numId="38">
    <w:abstractNumId w:val="12"/>
  </w:num>
  <w:num w:numId="39">
    <w:abstractNumId w:val="17"/>
  </w:num>
  <w:num w:numId="4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D461F"/>
    <w:rsid w:val="00003443"/>
    <w:rsid w:val="00003D17"/>
    <w:rsid w:val="000307FC"/>
    <w:rsid w:val="000372A4"/>
    <w:rsid w:val="0004275D"/>
    <w:rsid w:val="00045763"/>
    <w:rsid w:val="00045C91"/>
    <w:rsid w:val="00047DB1"/>
    <w:rsid w:val="000550A4"/>
    <w:rsid w:val="00063A0A"/>
    <w:rsid w:val="00066155"/>
    <w:rsid w:val="0007152F"/>
    <w:rsid w:val="000729AA"/>
    <w:rsid w:val="0007352F"/>
    <w:rsid w:val="0007495E"/>
    <w:rsid w:val="00085359"/>
    <w:rsid w:val="0009138B"/>
    <w:rsid w:val="000934FB"/>
    <w:rsid w:val="000969AA"/>
    <w:rsid w:val="0009762A"/>
    <w:rsid w:val="000A0383"/>
    <w:rsid w:val="000A19E8"/>
    <w:rsid w:val="000A2636"/>
    <w:rsid w:val="000B0A2E"/>
    <w:rsid w:val="000B0C62"/>
    <w:rsid w:val="000C51C2"/>
    <w:rsid w:val="000E10AB"/>
    <w:rsid w:val="000E4DAE"/>
    <w:rsid w:val="000F1FCD"/>
    <w:rsid w:val="000F2C08"/>
    <w:rsid w:val="000F75EF"/>
    <w:rsid w:val="001161D2"/>
    <w:rsid w:val="0012665D"/>
    <w:rsid w:val="0013556A"/>
    <w:rsid w:val="0014007D"/>
    <w:rsid w:val="00176DBE"/>
    <w:rsid w:val="00180EAA"/>
    <w:rsid w:val="001A7FDD"/>
    <w:rsid w:val="001B05F1"/>
    <w:rsid w:val="001C0C3A"/>
    <w:rsid w:val="001C29C1"/>
    <w:rsid w:val="001C6D64"/>
    <w:rsid w:val="001D0FD1"/>
    <w:rsid w:val="001F344E"/>
    <w:rsid w:val="001F48D0"/>
    <w:rsid w:val="0020708C"/>
    <w:rsid w:val="00221B84"/>
    <w:rsid w:val="00222F1C"/>
    <w:rsid w:val="00231010"/>
    <w:rsid w:val="00231553"/>
    <w:rsid w:val="002427AF"/>
    <w:rsid w:val="002470A3"/>
    <w:rsid w:val="00275069"/>
    <w:rsid w:val="002905A3"/>
    <w:rsid w:val="00291068"/>
    <w:rsid w:val="002920BD"/>
    <w:rsid w:val="00293736"/>
    <w:rsid w:val="002A54A1"/>
    <w:rsid w:val="002B3E57"/>
    <w:rsid w:val="002B4358"/>
    <w:rsid w:val="002B4CA9"/>
    <w:rsid w:val="002B54DF"/>
    <w:rsid w:val="002C4130"/>
    <w:rsid w:val="002D4CC4"/>
    <w:rsid w:val="002E3BB9"/>
    <w:rsid w:val="00307511"/>
    <w:rsid w:val="00311BDC"/>
    <w:rsid w:val="00316FFC"/>
    <w:rsid w:val="00321646"/>
    <w:rsid w:val="00330DE5"/>
    <w:rsid w:val="00335128"/>
    <w:rsid w:val="00336EAF"/>
    <w:rsid w:val="00337965"/>
    <w:rsid w:val="00356870"/>
    <w:rsid w:val="00363F95"/>
    <w:rsid w:val="0037514B"/>
    <w:rsid w:val="0037615F"/>
    <w:rsid w:val="00385B67"/>
    <w:rsid w:val="00392B97"/>
    <w:rsid w:val="00397EC8"/>
    <w:rsid w:val="003A34CB"/>
    <w:rsid w:val="003A70AE"/>
    <w:rsid w:val="003A757F"/>
    <w:rsid w:val="003B1B1C"/>
    <w:rsid w:val="003B745C"/>
    <w:rsid w:val="003D41BA"/>
    <w:rsid w:val="003E0049"/>
    <w:rsid w:val="003E00A3"/>
    <w:rsid w:val="003E4E9D"/>
    <w:rsid w:val="003F7596"/>
    <w:rsid w:val="00400566"/>
    <w:rsid w:val="00421231"/>
    <w:rsid w:val="0042377F"/>
    <w:rsid w:val="00424808"/>
    <w:rsid w:val="0043100E"/>
    <w:rsid w:val="004412F5"/>
    <w:rsid w:val="004452B6"/>
    <w:rsid w:val="004501A7"/>
    <w:rsid w:val="0045170D"/>
    <w:rsid w:val="00453971"/>
    <w:rsid w:val="004618BB"/>
    <w:rsid w:val="00461A7C"/>
    <w:rsid w:val="004672C9"/>
    <w:rsid w:val="004745B1"/>
    <w:rsid w:val="00481FD8"/>
    <w:rsid w:val="004B7EF7"/>
    <w:rsid w:val="004D0D76"/>
    <w:rsid w:val="004F201B"/>
    <w:rsid w:val="004F6330"/>
    <w:rsid w:val="00502676"/>
    <w:rsid w:val="00513516"/>
    <w:rsid w:val="00531692"/>
    <w:rsid w:val="005336DB"/>
    <w:rsid w:val="00534552"/>
    <w:rsid w:val="005442C1"/>
    <w:rsid w:val="005443D4"/>
    <w:rsid w:val="00554D95"/>
    <w:rsid w:val="00557283"/>
    <w:rsid w:val="00571298"/>
    <w:rsid w:val="005875CA"/>
    <w:rsid w:val="00593387"/>
    <w:rsid w:val="005A1DB3"/>
    <w:rsid w:val="005A4C70"/>
    <w:rsid w:val="005B598E"/>
    <w:rsid w:val="005D42EC"/>
    <w:rsid w:val="005D481A"/>
    <w:rsid w:val="005E0445"/>
    <w:rsid w:val="005E23C6"/>
    <w:rsid w:val="005E7699"/>
    <w:rsid w:val="005F14EC"/>
    <w:rsid w:val="006112FF"/>
    <w:rsid w:val="0061207C"/>
    <w:rsid w:val="0061345C"/>
    <w:rsid w:val="006149DC"/>
    <w:rsid w:val="006155AB"/>
    <w:rsid w:val="006179D0"/>
    <w:rsid w:val="00620255"/>
    <w:rsid w:val="00624BDF"/>
    <w:rsid w:val="00624CDE"/>
    <w:rsid w:val="00626599"/>
    <w:rsid w:val="0063569E"/>
    <w:rsid w:val="00647BA4"/>
    <w:rsid w:val="00652617"/>
    <w:rsid w:val="00654CC5"/>
    <w:rsid w:val="00660ED7"/>
    <w:rsid w:val="006618E9"/>
    <w:rsid w:val="00663D78"/>
    <w:rsid w:val="0066573A"/>
    <w:rsid w:val="0067010A"/>
    <w:rsid w:val="00674F49"/>
    <w:rsid w:val="00682CD5"/>
    <w:rsid w:val="006A2A1E"/>
    <w:rsid w:val="006C6F39"/>
    <w:rsid w:val="006C6F59"/>
    <w:rsid w:val="006D137E"/>
    <w:rsid w:val="006D612B"/>
    <w:rsid w:val="006D79B1"/>
    <w:rsid w:val="006E1F72"/>
    <w:rsid w:val="0070535F"/>
    <w:rsid w:val="0071555B"/>
    <w:rsid w:val="00727072"/>
    <w:rsid w:val="00761D21"/>
    <w:rsid w:val="00773F1E"/>
    <w:rsid w:val="00783CA1"/>
    <w:rsid w:val="0078598B"/>
    <w:rsid w:val="0079018B"/>
    <w:rsid w:val="007A1162"/>
    <w:rsid w:val="007A2C05"/>
    <w:rsid w:val="007B0B68"/>
    <w:rsid w:val="007B273B"/>
    <w:rsid w:val="007B6E14"/>
    <w:rsid w:val="007C4733"/>
    <w:rsid w:val="007D461F"/>
    <w:rsid w:val="007D6D47"/>
    <w:rsid w:val="007E1A2F"/>
    <w:rsid w:val="007F0757"/>
    <w:rsid w:val="007F572A"/>
    <w:rsid w:val="00801247"/>
    <w:rsid w:val="00827EF8"/>
    <w:rsid w:val="00831AE9"/>
    <w:rsid w:val="00832DAB"/>
    <w:rsid w:val="00834ED4"/>
    <w:rsid w:val="00844CD3"/>
    <w:rsid w:val="008476F4"/>
    <w:rsid w:val="00852C3B"/>
    <w:rsid w:val="00856814"/>
    <w:rsid w:val="00867005"/>
    <w:rsid w:val="00883DFF"/>
    <w:rsid w:val="00885BB0"/>
    <w:rsid w:val="00886A1D"/>
    <w:rsid w:val="00895393"/>
    <w:rsid w:val="008A3AC1"/>
    <w:rsid w:val="008A3D6A"/>
    <w:rsid w:val="008B33CE"/>
    <w:rsid w:val="008C1495"/>
    <w:rsid w:val="008C58A4"/>
    <w:rsid w:val="008C5BB2"/>
    <w:rsid w:val="008C6BDA"/>
    <w:rsid w:val="008D3D7C"/>
    <w:rsid w:val="008F28E4"/>
    <w:rsid w:val="008F3609"/>
    <w:rsid w:val="008F7532"/>
    <w:rsid w:val="00920585"/>
    <w:rsid w:val="0092466F"/>
    <w:rsid w:val="00931208"/>
    <w:rsid w:val="00931928"/>
    <w:rsid w:val="00933611"/>
    <w:rsid w:val="00947544"/>
    <w:rsid w:val="0095164F"/>
    <w:rsid w:val="0095335C"/>
    <w:rsid w:val="00960792"/>
    <w:rsid w:val="00977A9A"/>
    <w:rsid w:val="00981AB9"/>
    <w:rsid w:val="00986F2B"/>
    <w:rsid w:val="00991733"/>
    <w:rsid w:val="00994B7C"/>
    <w:rsid w:val="00995DBB"/>
    <w:rsid w:val="009B0CDD"/>
    <w:rsid w:val="009C0788"/>
    <w:rsid w:val="009C13FD"/>
    <w:rsid w:val="009D0320"/>
    <w:rsid w:val="009E14D9"/>
    <w:rsid w:val="009F0902"/>
    <w:rsid w:val="009F2DB2"/>
    <w:rsid w:val="009F52DA"/>
    <w:rsid w:val="00A21C2F"/>
    <w:rsid w:val="00A2428C"/>
    <w:rsid w:val="00A24976"/>
    <w:rsid w:val="00A404CF"/>
    <w:rsid w:val="00A415C5"/>
    <w:rsid w:val="00A43E85"/>
    <w:rsid w:val="00A46329"/>
    <w:rsid w:val="00A46614"/>
    <w:rsid w:val="00A6604D"/>
    <w:rsid w:val="00A67375"/>
    <w:rsid w:val="00A8428A"/>
    <w:rsid w:val="00A8762D"/>
    <w:rsid w:val="00AA1EC8"/>
    <w:rsid w:val="00AA37CE"/>
    <w:rsid w:val="00AA6116"/>
    <w:rsid w:val="00AA779E"/>
    <w:rsid w:val="00AB1D4E"/>
    <w:rsid w:val="00AB5424"/>
    <w:rsid w:val="00AB6771"/>
    <w:rsid w:val="00AB7FD4"/>
    <w:rsid w:val="00AC1C17"/>
    <w:rsid w:val="00AC39C3"/>
    <w:rsid w:val="00AC4476"/>
    <w:rsid w:val="00AD2B50"/>
    <w:rsid w:val="00AD72E7"/>
    <w:rsid w:val="00AE1488"/>
    <w:rsid w:val="00AE25BD"/>
    <w:rsid w:val="00AE3359"/>
    <w:rsid w:val="00AE37E6"/>
    <w:rsid w:val="00AE56FC"/>
    <w:rsid w:val="00B07819"/>
    <w:rsid w:val="00B106C8"/>
    <w:rsid w:val="00B4159B"/>
    <w:rsid w:val="00B46C58"/>
    <w:rsid w:val="00B54C4E"/>
    <w:rsid w:val="00B55BDD"/>
    <w:rsid w:val="00B70C80"/>
    <w:rsid w:val="00B87F87"/>
    <w:rsid w:val="00B94558"/>
    <w:rsid w:val="00B95468"/>
    <w:rsid w:val="00BA22B7"/>
    <w:rsid w:val="00BA5D9C"/>
    <w:rsid w:val="00BA710B"/>
    <w:rsid w:val="00BB06AE"/>
    <w:rsid w:val="00BB080C"/>
    <w:rsid w:val="00BB2CA7"/>
    <w:rsid w:val="00BC780C"/>
    <w:rsid w:val="00BD3F80"/>
    <w:rsid w:val="00BE13EB"/>
    <w:rsid w:val="00BF4423"/>
    <w:rsid w:val="00C032F5"/>
    <w:rsid w:val="00C12FD6"/>
    <w:rsid w:val="00C146A4"/>
    <w:rsid w:val="00C26463"/>
    <w:rsid w:val="00C400E7"/>
    <w:rsid w:val="00C4593E"/>
    <w:rsid w:val="00C5368A"/>
    <w:rsid w:val="00C615C4"/>
    <w:rsid w:val="00C62BFC"/>
    <w:rsid w:val="00C64EBE"/>
    <w:rsid w:val="00C66CBF"/>
    <w:rsid w:val="00C71B8F"/>
    <w:rsid w:val="00C81A77"/>
    <w:rsid w:val="00C93DBE"/>
    <w:rsid w:val="00C97C41"/>
    <w:rsid w:val="00CA2F50"/>
    <w:rsid w:val="00CB12B9"/>
    <w:rsid w:val="00CB55F1"/>
    <w:rsid w:val="00CD5054"/>
    <w:rsid w:val="00CE25D0"/>
    <w:rsid w:val="00CE58B8"/>
    <w:rsid w:val="00CE73F7"/>
    <w:rsid w:val="00D04FFF"/>
    <w:rsid w:val="00D177B0"/>
    <w:rsid w:val="00D30804"/>
    <w:rsid w:val="00D324A5"/>
    <w:rsid w:val="00D3640F"/>
    <w:rsid w:val="00D40C63"/>
    <w:rsid w:val="00D42B4C"/>
    <w:rsid w:val="00D432C8"/>
    <w:rsid w:val="00D435B4"/>
    <w:rsid w:val="00D44F34"/>
    <w:rsid w:val="00D51612"/>
    <w:rsid w:val="00D53F45"/>
    <w:rsid w:val="00D55F5A"/>
    <w:rsid w:val="00D64EFF"/>
    <w:rsid w:val="00D73E17"/>
    <w:rsid w:val="00D807E0"/>
    <w:rsid w:val="00DB569B"/>
    <w:rsid w:val="00DD57E1"/>
    <w:rsid w:val="00DE1EEC"/>
    <w:rsid w:val="00DE6449"/>
    <w:rsid w:val="00DE6687"/>
    <w:rsid w:val="00DE7770"/>
    <w:rsid w:val="00E002A5"/>
    <w:rsid w:val="00E02498"/>
    <w:rsid w:val="00E158B2"/>
    <w:rsid w:val="00E215B6"/>
    <w:rsid w:val="00E25E2E"/>
    <w:rsid w:val="00E351CB"/>
    <w:rsid w:val="00E37A77"/>
    <w:rsid w:val="00E40F5A"/>
    <w:rsid w:val="00E57D5E"/>
    <w:rsid w:val="00E649EB"/>
    <w:rsid w:val="00E71C38"/>
    <w:rsid w:val="00E761F0"/>
    <w:rsid w:val="00E84A68"/>
    <w:rsid w:val="00E93688"/>
    <w:rsid w:val="00E9454A"/>
    <w:rsid w:val="00EA0570"/>
    <w:rsid w:val="00EA2876"/>
    <w:rsid w:val="00EA5920"/>
    <w:rsid w:val="00EA594D"/>
    <w:rsid w:val="00EA7B22"/>
    <w:rsid w:val="00EC2132"/>
    <w:rsid w:val="00EC3C1E"/>
    <w:rsid w:val="00ED5B7F"/>
    <w:rsid w:val="00EE4443"/>
    <w:rsid w:val="00EF14CC"/>
    <w:rsid w:val="00EF4AEC"/>
    <w:rsid w:val="00EF7825"/>
    <w:rsid w:val="00F0671F"/>
    <w:rsid w:val="00F06999"/>
    <w:rsid w:val="00F11AF8"/>
    <w:rsid w:val="00F1470E"/>
    <w:rsid w:val="00F16C18"/>
    <w:rsid w:val="00F177AC"/>
    <w:rsid w:val="00F24F5B"/>
    <w:rsid w:val="00F26421"/>
    <w:rsid w:val="00F27FDA"/>
    <w:rsid w:val="00F318C0"/>
    <w:rsid w:val="00F35FBA"/>
    <w:rsid w:val="00F40159"/>
    <w:rsid w:val="00F50360"/>
    <w:rsid w:val="00F6027A"/>
    <w:rsid w:val="00F83023"/>
    <w:rsid w:val="00F856AA"/>
    <w:rsid w:val="00FA329D"/>
    <w:rsid w:val="00FB1D1F"/>
    <w:rsid w:val="00FB4961"/>
    <w:rsid w:val="00FB562F"/>
    <w:rsid w:val="00FC2121"/>
    <w:rsid w:val="00FC2D31"/>
    <w:rsid w:val="00FC42D8"/>
    <w:rsid w:val="00FD2944"/>
    <w:rsid w:val="00FE585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29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831AE9"/>
    <w:pPr>
      <w:tabs>
        <w:tab w:val="center" w:pos="4536"/>
        <w:tab w:val="right" w:pos="9072"/>
      </w:tabs>
    </w:pPr>
  </w:style>
  <w:style w:type="character" w:customStyle="1" w:styleId="Char0">
    <w:name w:val="Κεφαλίδα Char"/>
    <w:link w:val="a8"/>
    <w:uiPriority w:val="99"/>
    <w:rsid w:val="00831AE9"/>
    <w:rPr>
      <w:sz w:val="24"/>
      <w:szCs w:val="24"/>
      <w:lang w:eastAsia="el-GR"/>
    </w:rPr>
  </w:style>
  <w:style w:type="paragraph" w:styleId="a9">
    <w:name w:val="footer"/>
    <w:basedOn w:val="a"/>
    <w:link w:val="Char1"/>
    <w:rsid w:val="00831AE9"/>
    <w:pPr>
      <w:tabs>
        <w:tab w:val="center" w:pos="4536"/>
        <w:tab w:val="right" w:pos="9072"/>
      </w:tabs>
    </w:pPr>
  </w:style>
  <w:style w:type="character" w:customStyle="1" w:styleId="Char1">
    <w:name w:val="Υποσέλιδο Char"/>
    <w:link w:val="a9"/>
    <w:rsid w:val="00831AE9"/>
    <w:rPr>
      <w:sz w:val="24"/>
      <w:szCs w:val="24"/>
      <w:lang w:eastAsia="el-GR"/>
    </w:rPr>
  </w:style>
  <w:style w:type="character" w:styleId="aa">
    <w:name w:val="annotation reference"/>
    <w:rsid w:val="00AB5424"/>
    <w:rPr>
      <w:sz w:val="16"/>
      <w:szCs w:val="16"/>
    </w:rPr>
  </w:style>
  <w:style w:type="paragraph" w:styleId="ab">
    <w:name w:val="annotation text"/>
    <w:basedOn w:val="a"/>
    <w:link w:val="Char2"/>
    <w:rsid w:val="00AB5424"/>
    <w:rPr>
      <w:sz w:val="20"/>
      <w:szCs w:val="20"/>
    </w:rPr>
  </w:style>
  <w:style w:type="character" w:customStyle="1" w:styleId="Char2">
    <w:name w:val="Κείμενο σχολίου Char"/>
    <w:link w:val="ab"/>
    <w:rsid w:val="00AB5424"/>
    <w:rPr>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29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831AE9"/>
    <w:pPr>
      <w:tabs>
        <w:tab w:val="center" w:pos="4536"/>
        <w:tab w:val="right" w:pos="9072"/>
      </w:tabs>
    </w:pPr>
  </w:style>
  <w:style w:type="character" w:customStyle="1" w:styleId="Char0">
    <w:name w:val="Κεφαλίδα Char"/>
    <w:link w:val="a8"/>
    <w:uiPriority w:val="99"/>
    <w:rsid w:val="00831AE9"/>
    <w:rPr>
      <w:sz w:val="24"/>
      <w:szCs w:val="24"/>
      <w:lang w:eastAsia="el-GR"/>
    </w:rPr>
  </w:style>
  <w:style w:type="paragraph" w:styleId="a9">
    <w:name w:val="footer"/>
    <w:basedOn w:val="a"/>
    <w:link w:val="Char1"/>
    <w:rsid w:val="00831AE9"/>
    <w:pPr>
      <w:tabs>
        <w:tab w:val="center" w:pos="4536"/>
        <w:tab w:val="right" w:pos="9072"/>
      </w:tabs>
    </w:pPr>
  </w:style>
  <w:style w:type="character" w:customStyle="1" w:styleId="Char1">
    <w:name w:val="Υποσέλιδο Char"/>
    <w:link w:val="a9"/>
    <w:rsid w:val="00831AE9"/>
    <w:rPr>
      <w:sz w:val="24"/>
      <w:szCs w:val="24"/>
      <w:lang w:eastAsia="el-GR"/>
    </w:rPr>
  </w:style>
  <w:style w:type="character" w:styleId="aa">
    <w:name w:val="annotation reference"/>
    <w:rsid w:val="00AB5424"/>
    <w:rPr>
      <w:sz w:val="16"/>
      <w:szCs w:val="16"/>
    </w:rPr>
  </w:style>
  <w:style w:type="paragraph" w:styleId="ab">
    <w:name w:val="annotation text"/>
    <w:basedOn w:val="a"/>
    <w:link w:val="Char2"/>
    <w:rsid w:val="00AB5424"/>
    <w:rPr>
      <w:sz w:val="20"/>
      <w:szCs w:val="20"/>
    </w:rPr>
  </w:style>
  <w:style w:type="character" w:customStyle="1" w:styleId="Char2">
    <w:name w:val="Κείμενο σχολίου Char"/>
    <w:link w:val="ab"/>
    <w:rsid w:val="00AB5424"/>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7006">
      <w:bodyDiv w:val="1"/>
      <w:marLeft w:val="0"/>
      <w:marRight w:val="0"/>
      <w:marTop w:val="0"/>
      <w:marBottom w:val="0"/>
      <w:divBdr>
        <w:top w:val="none" w:sz="0" w:space="0" w:color="auto"/>
        <w:left w:val="none" w:sz="0" w:space="0" w:color="auto"/>
        <w:bottom w:val="none" w:sz="0" w:space="0" w:color="auto"/>
        <w:right w:val="none" w:sz="0" w:space="0" w:color="auto"/>
      </w:divBdr>
    </w:div>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542985">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 w:id="207087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0" ma:contentTypeDescription="Create a new document." ma:contentTypeScope="" ma:versionID="1707f5db0bb5930e22a064879d26449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d0617f5e946a217e2e4f3631245cb5a"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DD9D3-3CF2-4353-8B2F-1BB1B22A9D33}"/>
</file>

<file path=customXml/itemProps2.xml><?xml version="1.0" encoding="utf-8"?>
<ds:datastoreItem xmlns:ds="http://schemas.openxmlformats.org/officeDocument/2006/customXml" ds:itemID="{1F5BC388-FCCE-43E7-801B-7143BC13E4D8}"/>
</file>

<file path=customXml/itemProps3.xml><?xml version="1.0" encoding="utf-8"?>
<ds:datastoreItem xmlns:ds="http://schemas.openxmlformats.org/officeDocument/2006/customXml" ds:itemID="{0730ECFA-03C6-49ED-B530-95FE023A84E7}">
  <ds:schemaRefs>
    <ds:schemaRef ds:uri="http://schemas.microsoft.com/office/2006/metadata/longProperties"/>
  </ds:schemaRefs>
</ds:datastoreItem>
</file>

<file path=customXml/itemProps4.xml><?xml version="1.0" encoding="utf-8"?>
<ds:datastoreItem xmlns:ds="http://schemas.openxmlformats.org/officeDocument/2006/customXml" ds:itemID="{41AC772A-A2F6-4367-B68B-C681C0D9DB54}">
  <ds:schemaRefs>
    <ds:schemaRef ds:uri="http://schemas.microsoft.com/office/2006/metadata/properties"/>
    <ds:schemaRef ds:uri="http://schemas.microsoft.com/office/infopath/2007/PartnerControls"/>
    <ds:schemaRef ds:uri="3f2ecb14-6aec-4688-b279-ec9b9954e969"/>
  </ds:schemaRefs>
</ds:datastoreItem>
</file>

<file path=customXml/itemProps5.xml><?xml version="1.0" encoding="utf-8"?>
<ds:datastoreItem xmlns:ds="http://schemas.openxmlformats.org/officeDocument/2006/customXml" ds:itemID="{3165171D-DD6B-4373-B3AB-85064DD7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3829</Words>
  <Characters>20678</Characters>
  <Application>Microsoft Office Word</Application>
  <DocSecurity>0</DocSecurity>
  <Lines>172</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General block exemption Regulation (Reg</vt:lpstr>
      <vt:lpstr>General block exemption Regulation (Reg</vt:lpstr>
    </vt:vector>
  </TitlesOfParts>
  <Company>European Commission</Company>
  <LinksUpToDate>false</LinksUpToDate>
  <CharactersWithSpaces>24459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creator>Stephanie Nieuwbourg</dc:creator>
  <cp:lastModifiedBy>Ρόζα Σαράφη</cp:lastModifiedBy>
  <cp:revision>2</cp:revision>
  <cp:lastPrinted>2015-01-23T09:21:00Z</cp:lastPrinted>
  <dcterms:created xsi:type="dcterms:W3CDTF">2019-03-27T09:04:00Z</dcterms:created>
  <dcterms:modified xsi:type="dcterms:W3CDTF">2019-03-27T09:04:00Z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DFHKP4SWDDZR-2-2773</vt:lpwstr>
  </property>
  <property fmtid="{D5CDD505-2E9C-101B-9397-08002B2CF9AE}" pid="5" name="_dlc_DocIdItemGuid">
    <vt:lpwstr>f350fa76-d0c2-47e8-944e-6b38a75255cb</vt:lpwstr>
  </property>
  <property fmtid="{D5CDD505-2E9C-101B-9397-08002B2CF9AE}" pid="6" name="_dlc_DocIdUrl">
    <vt:lpwstr>http://workspace/cases/HT.660/_layouts/15/DocIdRedir.aspx?ID=DFHKP4SWDDZR-2-2773, DFHKP4SWDDZR-2-2773</vt:lpwstr>
  </property>
  <property fmtid="{D5CDD505-2E9C-101B-9397-08002B2CF9AE}" pid="7" name="ContentTypeId">
    <vt:lpwstr>0x01010083A6470BE75710439E7CB619857A0938</vt:lpwstr>
  </property>
</Properties>
</file>